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A89D" w14:textId="1CAE38EE" w:rsidR="00E47E46" w:rsidRDefault="00E47E46" w:rsidP="00E47E46">
      <w:pPr>
        <w:ind w:firstLine="567"/>
        <w:jc w:val="center"/>
        <w:rPr>
          <w:rFonts w:ascii="Century Gothic" w:hAnsi="Century Gothic"/>
          <w:b/>
          <w:bCs/>
          <w:sz w:val="20"/>
          <w:szCs w:val="20"/>
          <w:lang w:eastAsia="es-CL"/>
        </w:rPr>
      </w:pPr>
      <w:bookmarkStart w:id="0" w:name="_Hlk4144952"/>
      <w:r w:rsidRPr="00E47E46">
        <w:rPr>
          <w:rFonts w:ascii="Century Gothic" w:hAnsi="Century Gothic"/>
          <w:b/>
          <w:bCs/>
          <w:sz w:val="20"/>
          <w:szCs w:val="20"/>
          <w:lang w:eastAsia="es-CL"/>
        </w:rPr>
        <w:t>CONSULTAS CUENTA PÚBLICA DEP GESTIÓN 2020</w:t>
      </w:r>
    </w:p>
    <w:p w14:paraId="62CAC3B9" w14:textId="17C37211" w:rsidR="00E47E46" w:rsidRDefault="00E47E46" w:rsidP="00E47E46">
      <w:pPr>
        <w:ind w:firstLine="567"/>
        <w:jc w:val="center"/>
        <w:rPr>
          <w:rFonts w:ascii="Century Gothic" w:hAnsi="Century Gothic"/>
          <w:b/>
          <w:bCs/>
          <w:sz w:val="20"/>
          <w:szCs w:val="20"/>
          <w:lang w:eastAsia="es-CL"/>
        </w:rPr>
      </w:pPr>
    </w:p>
    <w:p w14:paraId="554A7B40" w14:textId="18285E8D" w:rsidR="005970EE" w:rsidRPr="005970EE" w:rsidRDefault="005970EE" w:rsidP="005970EE">
      <w:pPr>
        <w:rPr>
          <w:rFonts w:ascii="Century Gothic" w:hAnsi="Century Gothic"/>
          <w:b/>
          <w:bCs/>
          <w:sz w:val="20"/>
          <w:szCs w:val="20"/>
          <w:lang w:eastAsia="es-CL"/>
        </w:rPr>
      </w:pPr>
      <w:r w:rsidRPr="009A7146">
        <w:rPr>
          <w:rFonts w:ascii="Century Gothic" w:hAnsi="Century Gothic"/>
          <w:b/>
          <w:bCs/>
          <w:sz w:val="20"/>
          <w:szCs w:val="20"/>
          <w:lang w:eastAsia="es-CL"/>
        </w:rPr>
        <w:t xml:space="preserve">Consulta: </w:t>
      </w:r>
      <w:r w:rsidR="009A7146" w:rsidRPr="009A7146">
        <w:rPr>
          <w:rFonts w:ascii="Century Gothic" w:hAnsi="Century Gothic"/>
          <w:b/>
          <w:bCs/>
          <w:sz w:val="20"/>
          <w:szCs w:val="20"/>
          <w:lang w:eastAsia="es-CL"/>
        </w:rPr>
        <w:t xml:space="preserve"> 31 de mayo 2021</w:t>
      </w:r>
    </w:p>
    <w:p w14:paraId="37BFBF2D" w14:textId="722E25BD"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Por medio del presente, me dirijo a usted, con el fin de informar sobre su requerimiento de información relativo a “(…) si ya tienen definido si el calendario de implementación se extenderá hasta 2025, o si lo harán a 2030 o un punto intermedio. Junto con ello, quisiera saber si el año 2022 se instalarán los 15 SLEP que fueron publicados en el diario oficial, o si eso se modificará, en cuyo caso sería útil saber cuáles serán los SLEP definitivos a instalar durante 2022”.</w:t>
      </w:r>
    </w:p>
    <w:p w14:paraId="6F6AB1F4" w14:textId="77777777" w:rsidR="005970EE" w:rsidRDefault="005970EE" w:rsidP="00E47E46">
      <w:pPr>
        <w:ind w:firstLine="567"/>
        <w:rPr>
          <w:rFonts w:ascii="Century Gothic" w:hAnsi="Century Gothic"/>
          <w:sz w:val="20"/>
          <w:szCs w:val="20"/>
          <w:lang w:eastAsia="es-CL"/>
        </w:rPr>
      </w:pPr>
    </w:p>
    <w:p w14:paraId="3A8CCE53" w14:textId="544EF443" w:rsidR="005970EE" w:rsidRPr="005970EE" w:rsidRDefault="005970EE" w:rsidP="005970EE">
      <w:pPr>
        <w:rPr>
          <w:rFonts w:ascii="Century Gothic" w:hAnsi="Century Gothic"/>
          <w:b/>
          <w:bCs/>
          <w:sz w:val="20"/>
          <w:szCs w:val="20"/>
          <w:lang w:eastAsia="es-CL"/>
        </w:rPr>
      </w:pPr>
      <w:r w:rsidRPr="005970EE">
        <w:rPr>
          <w:rFonts w:ascii="Century Gothic" w:hAnsi="Century Gothic"/>
          <w:b/>
          <w:bCs/>
          <w:sz w:val="20"/>
          <w:szCs w:val="20"/>
          <w:lang w:eastAsia="es-CL"/>
        </w:rPr>
        <w:t>Respuesta: 13 de julio de 2021</w:t>
      </w:r>
    </w:p>
    <w:bookmarkEnd w:id="0"/>
    <w:p w14:paraId="5215E65B"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Como es de su conocimiento, la Ley </w:t>
      </w:r>
      <w:proofErr w:type="spellStart"/>
      <w:r>
        <w:rPr>
          <w:rFonts w:ascii="Century Gothic" w:hAnsi="Century Gothic"/>
          <w:sz w:val="20"/>
          <w:szCs w:val="20"/>
          <w:lang w:eastAsia="es-CL"/>
        </w:rPr>
        <w:t>N°</w:t>
      </w:r>
      <w:proofErr w:type="spellEnd"/>
      <w:r>
        <w:rPr>
          <w:rFonts w:ascii="Century Gothic" w:hAnsi="Century Gothic"/>
          <w:sz w:val="20"/>
          <w:szCs w:val="20"/>
          <w:lang w:eastAsia="es-CL"/>
        </w:rPr>
        <w:t xml:space="preserve"> 21.040, que Crea el Sistema de Educación Pública (la Ley), distingue tres alternativas de modificación de la implementación de la segunda etapa de instalación; i) la postergación del traspaso del servicio educacional de efectos limitados a una determinada comuna del territorio; </w:t>
      </w:r>
      <w:proofErr w:type="spellStart"/>
      <w:r>
        <w:rPr>
          <w:rFonts w:ascii="Century Gothic" w:hAnsi="Century Gothic"/>
          <w:sz w:val="20"/>
          <w:szCs w:val="20"/>
          <w:lang w:eastAsia="es-CL"/>
        </w:rPr>
        <w:t>ii</w:t>
      </w:r>
      <w:proofErr w:type="spellEnd"/>
      <w:r>
        <w:rPr>
          <w:rFonts w:ascii="Century Gothic" w:hAnsi="Century Gothic"/>
          <w:sz w:val="20"/>
          <w:szCs w:val="20"/>
          <w:lang w:eastAsia="es-CL"/>
        </w:rPr>
        <w:t xml:space="preserve">) la extensión de las fechas para la implementación del Nuevo Sistema de Educación Pública; y </w:t>
      </w:r>
      <w:proofErr w:type="spellStart"/>
      <w:r>
        <w:rPr>
          <w:rFonts w:ascii="Century Gothic" w:hAnsi="Century Gothic"/>
          <w:sz w:val="20"/>
          <w:szCs w:val="20"/>
          <w:lang w:eastAsia="es-CL"/>
        </w:rPr>
        <w:t>iii</w:t>
      </w:r>
      <w:proofErr w:type="spellEnd"/>
      <w:r>
        <w:rPr>
          <w:rFonts w:ascii="Century Gothic" w:hAnsi="Century Gothic"/>
          <w:sz w:val="20"/>
          <w:szCs w:val="20"/>
          <w:lang w:eastAsia="es-CL"/>
        </w:rPr>
        <w:t>.) la modificación del calendario legal para la referida instalación.</w:t>
      </w:r>
    </w:p>
    <w:p w14:paraId="2D331610"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La primera alternativa, de extensión comunal, se refiere a la solicitud de postergación del traspaso del servicio educacional por las respectivas Municipalidades o Corporaciones Municipales, regulada en el artículo décimo transitorio de la Ley y en el Decreto </w:t>
      </w:r>
      <w:proofErr w:type="spellStart"/>
      <w:r>
        <w:rPr>
          <w:rFonts w:ascii="Century Gothic" w:hAnsi="Century Gothic"/>
          <w:sz w:val="20"/>
          <w:szCs w:val="20"/>
          <w:lang w:eastAsia="es-CL"/>
        </w:rPr>
        <w:t>N°</w:t>
      </w:r>
      <w:proofErr w:type="spellEnd"/>
      <w:r>
        <w:rPr>
          <w:rFonts w:ascii="Century Gothic" w:hAnsi="Century Gothic"/>
          <w:sz w:val="20"/>
          <w:szCs w:val="20"/>
          <w:lang w:eastAsia="es-CL"/>
        </w:rPr>
        <w:t xml:space="preserve"> 321, de 2020, del Ministerio de Educación (el Reglamento), que contempla la posibilidad de que las Municipalidades o Corporaciones Municipales soliciten la postergación del traspaso del servicio educacional de su comuna, </w:t>
      </w:r>
      <w:r>
        <w:rPr>
          <w:rFonts w:ascii="Century Gothic" w:hAnsi="Century Gothic"/>
          <w:b/>
          <w:bCs/>
          <w:sz w:val="20"/>
          <w:szCs w:val="20"/>
          <w:lang w:eastAsia="es-CL"/>
        </w:rPr>
        <w:t>siempre que se cumpla con los requisitos copulativos</w:t>
      </w:r>
      <w:r>
        <w:rPr>
          <w:rFonts w:ascii="Century Gothic" w:hAnsi="Century Gothic"/>
          <w:sz w:val="20"/>
          <w:szCs w:val="20"/>
          <w:lang w:eastAsia="es-CL"/>
        </w:rPr>
        <w:t xml:space="preserve"> enlistados en dicha disposición. </w:t>
      </w:r>
    </w:p>
    <w:p w14:paraId="1BE237F6"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Además, el mentado artículo </w:t>
      </w:r>
      <w:r>
        <w:rPr>
          <w:rFonts w:ascii="Century Gothic" w:hAnsi="Century Gothic"/>
          <w:b/>
          <w:bCs/>
          <w:sz w:val="20"/>
          <w:szCs w:val="20"/>
          <w:u w:val="single"/>
          <w:lang w:eastAsia="es-CL"/>
        </w:rPr>
        <w:t>determina una única oportunidad para presentar la solicitud</w:t>
      </w:r>
      <w:r>
        <w:rPr>
          <w:rFonts w:ascii="Century Gothic" w:hAnsi="Century Gothic"/>
          <w:sz w:val="20"/>
          <w:szCs w:val="20"/>
          <w:lang w:eastAsia="es-CL"/>
        </w:rPr>
        <w:t xml:space="preserve"> indicando que</w:t>
      </w:r>
      <w:r>
        <w:rPr>
          <w:rFonts w:ascii="Century Gothic" w:hAnsi="Century Gothic"/>
          <w:i/>
          <w:iCs/>
          <w:sz w:val="20"/>
          <w:szCs w:val="20"/>
          <w:lang w:eastAsia="es-CL"/>
        </w:rPr>
        <w:t xml:space="preserve"> “El municipio o corporación municipal deberá presentar su solicitud durante el </w:t>
      </w:r>
      <w:r>
        <w:rPr>
          <w:rFonts w:ascii="Century Gothic" w:hAnsi="Century Gothic"/>
          <w:b/>
          <w:bCs/>
          <w:i/>
          <w:iCs/>
          <w:sz w:val="20"/>
          <w:szCs w:val="20"/>
          <w:lang w:eastAsia="es-CL"/>
        </w:rPr>
        <w:t>mes de enero del año en que entrará en funcionamiento el Servicio Local</w:t>
      </w:r>
      <w:r>
        <w:rPr>
          <w:rFonts w:ascii="Century Gothic" w:hAnsi="Century Gothic"/>
          <w:i/>
          <w:iCs/>
          <w:sz w:val="20"/>
          <w:szCs w:val="20"/>
          <w:lang w:eastAsia="es-CL"/>
        </w:rPr>
        <w:t xml:space="preserve"> con competencia sobre la comuna respectiva”</w:t>
      </w:r>
      <w:r>
        <w:rPr>
          <w:rFonts w:ascii="Century Gothic" w:hAnsi="Century Gothic"/>
          <w:sz w:val="20"/>
          <w:szCs w:val="20"/>
          <w:lang w:eastAsia="es-CL"/>
        </w:rPr>
        <w:t>.  En los mismos términos lo establece el artículo 7 del Reglamento.</w:t>
      </w:r>
    </w:p>
    <w:p w14:paraId="50898B2B"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Respecto de las dos alternativas restantes, y en lo que atañe a su presentación, tienen un carácter general y sistémico para toda la segunda etapa de implementación y se encuentran contempladas en el artículo sexto transitorio de la Ley. La primera de ellas se establece en el inciso final del artículo sexto transitorio de la Ley, disposición que faculta al </w:t>
      </w:r>
      <w:proofErr w:type="gramStart"/>
      <w:r>
        <w:rPr>
          <w:rFonts w:ascii="Century Gothic" w:hAnsi="Century Gothic"/>
          <w:sz w:val="20"/>
          <w:szCs w:val="20"/>
          <w:lang w:eastAsia="es-CL"/>
        </w:rPr>
        <w:t>Presidente</w:t>
      </w:r>
      <w:proofErr w:type="gramEnd"/>
      <w:r>
        <w:rPr>
          <w:rFonts w:ascii="Century Gothic" w:hAnsi="Century Gothic"/>
          <w:sz w:val="20"/>
          <w:szCs w:val="20"/>
          <w:lang w:eastAsia="es-CL"/>
        </w:rPr>
        <w:t xml:space="preserve"> de la República para extender las fechas de entrada en funcionamiento de la segunda etapa de instalación más allá del año 2025, y máximo hasta el 2030, por decreto fundado del Ministerio de Educación suscrito además por el Ministerio de Hacienda, </w:t>
      </w:r>
      <w:r>
        <w:rPr>
          <w:rFonts w:ascii="Century Gothic" w:hAnsi="Century Gothic"/>
          <w:b/>
          <w:bCs/>
          <w:sz w:val="20"/>
          <w:szCs w:val="20"/>
          <w:u w:val="single"/>
          <w:lang w:eastAsia="es-CL"/>
        </w:rPr>
        <w:t>sujetando dicha extensión a un informe favorable del Consejo de Evaluación del Sistema de Educación Pública</w:t>
      </w:r>
      <w:r>
        <w:rPr>
          <w:rFonts w:ascii="Century Gothic" w:hAnsi="Century Gothic"/>
          <w:sz w:val="20"/>
          <w:szCs w:val="20"/>
          <w:lang w:eastAsia="es-CL"/>
        </w:rPr>
        <w:t>.</w:t>
      </w:r>
    </w:p>
    <w:p w14:paraId="47ACD04E"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lastRenderedPageBreak/>
        <w:t xml:space="preserve">Sobre el particular, cabe señalar que el Consejo de Evaluación del Sistema de Educación Pública ha emitido tres informes anuales, correspondientes a los años 2018, 2019 y 2020, así como también una evaluación intermedia, la que fue emitida en marzo de 2021. Dichos informes han analizado la puesta en marcha del Sistema de Educación Pública, levantando observaciones de éste y entregando recomendaciones para la instalación de la segunda etapa que contempla la implementación de los restantes 59 SLEP entre los años 2022 y 2025. </w:t>
      </w:r>
      <w:r>
        <w:rPr>
          <w:rFonts w:ascii="Century Gothic" w:hAnsi="Century Gothic"/>
          <w:sz w:val="20"/>
          <w:szCs w:val="20"/>
          <w:u w:val="single"/>
          <w:lang w:eastAsia="es-CL"/>
        </w:rPr>
        <w:t xml:space="preserve">En tales condiciones, resulta necesario destacar que en ninguno de los aludidos informes se entrega una opinión o recomendación favorable al </w:t>
      </w:r>
      <w:proofErr w:type="gramStart"/>
      <w:r>
        <w:rPr>
          <w:rFonts w:ascii="Century Gothic" w:hAnsi="Century Gothic"/>
          <w:sz w:val="20"/>
          <w:szCs w:val="20"/>
          <w:u w:val="single"/>
          <w:lang w:eastAsia="es-CL"/>
        </w:rPr>
        <w:t>Presidente</w:t>
      </w:r>
      <w:proofErr w:type="gramEnd"/>
      <w:r>
        <w:rPr>
          <w:rFonts w:ascii="Century Gothic" w:hAnsi="Century Gothic"/>
          <w:sz w:val="20"/>
          <w:szCs w:val="20"/>
          <w:u w:val="single"/>
          <w:lang w:eastAsia="es-CL"/>
        </w:rPr>
        <w:t xml:space="preserve"> de la República sobre la posibilidad de aplazar el proceso de instalación más allá del año 2025, </w:t>
      </w:r>
      <w:r>
        <w:rPr>
          <w:rFonts w:ascii="Century Gothic" w:hAnsi="Century Gothic"/>
          <w:b/>
          <w:bCs/>
          <w:sz w:val="20"/>
          <w:szCs w:val="20"/>
          <w:u w:val="single"/>
          <w:lang w:eastAsia="es-CL"/>
        </w:rPr>
        <w:t>razón por la cual no es posible ejercer por el Presidente de la República este mecanismo de la atribución legal</w:t>
      </w:r>
      <w:r>
        <w:rPr>
          <w:rFonts w:ascii="Century Gothic" w:hAnsi="Century Gothic"/>
          <w:sz w:val="20"/>
          <w:szCs w:val="20"/>
          <w:u w:val="single"/>
          <w:lang w:eastAsia="es-CL"/>
        </w:rPr>
        <w:t xml:space="preserve"> en comento al no verificarse todos los requisitos exigidos por la normativa</w:t>
      </w:r>
      <w:r>
        <w:rPr>
          <w:rFonts w:ascii="Century Gothic" w:hAnsi="Century Gothic"/>
          <w:sz w:val="20"/>
          <w:szCs w:val="20"/>
          <w:lang w:eastAsia="es-CL"/>
        </w:rPr>
        <w:t xml:space="preserve">. </w:t>
      </w:r>
    </w:p>
    <w:p w14:paraId="4BC01874" w14:textId="77777777" w:rsidR="00E47E46" w:rsidRDefault="00E47E46" w:rsidP="00E47E46">
      <w:pPr>
        <w:ind w:firstLine="567"/>
        <w:rPr>
          <w:rFonts w:ascii="Century Gothic" w:hAnsi="Century Gothic"/>
          <w:sz w:val="20"/>
          <w:szCs w:val="20"/>
          <w:lang w:eastAsia="es-CL"/>
        </w:rPr>
      </w:pPr>
    </w:p>
    <w:p w14:paraId="2376E4FF"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En este orden de consideraciones es útil recordar que el legislador a través del artículo sexto transitorio de la Ley ordenó que en la segunda etapa de instalación:</w:t>
      </w:r>
    </w:p>
    <w:p w14:paraId="233BCFB9" w14:textId="77777777" w:rsidR="00E47E46" w:rsidRDefault="00E47E46" w:rsidP="00E47E46">
      <w:pPr>
        <w:ind w:firstLine="567"/>
        <w:rPr>
          <w:rFonts w:ascii="Century Gothic" w:hAnsi="Century Gothic"/>
          <w:sz w:val="20"/>
          <w:szCs w:val="20"/>
          <w:lang w:eastAsia="es-CL"/>
        </w:rPr>
      </w:pPr>
    </w:p>
    <w:p w14:paraId="489CB1D1" w14:textId="77777777" w:rsidR="00E47E46" w:rsidRDefault="00E47E46" w:rsidP="00E47E46">
      <w:pPr>
        <w:ind w:firstLine="567"/>
        <w:rPr>
          <w:rFonts w:ascii="Century Gothic" w:hAnsi="Century Gothic"/>
          <w:i/>
          <w:iCs/>
          <w:sz w:val="20"/>
          <w:szCs w:val="20"/>
          <w:lang w:eastAsia="es-CL"/>
        </w:rPr>
      </w:pPr>
      <w:r>
        <w:rPr>
          <w:rFonts w:ascii="Century Gothic" w:hAnsi="Century Gothic"/>
          <w:i/>
          <w:iCs/>
          <w:sz w:val="20"/>
          <w:szCs w:val="20"/>
          <w:lang w:eastAsia="es-CL"/>
        </w:rPr>
        <w:t>    “4. Entrarán en funcionamiento entre el 1 de enero y el 30 de junio de 2022 quince Servicios Locales.</w:t>
      </w:r>
    </w:p>
    <w:p w14:paraId="3E5E6EF3" w14:textId="77777777" w:rsidR="00E47E46" w:rsidRDefault="00E47E46" w:rsidP="00E47E46">
      <w:pPr>
        <w:ind w:firstLine="567"/>
        <w:rPr>
          <w:rFonts w:ascii="Century Gothic" w:hAnsi="Century Gothic"/>
          <w:i/>
          <w:iCs/>
          <w:sz w:val="20"/>
          <w:szCs w:val="20"/>
          <w:lang w:eastAsia="es-CL"/>
        </w:rPr>
      </w:pPr>
      <w:r>
        <w:rPr>
          <w:rFonts w:ascii="Century Gothic" w:hAnsi="Century Gothic"/>
          <w:i/>
          <w:iCs/>
          <w:sz w:val="20"/>
          <w:szCs w:val="20"/>
          <w:lang w:eastAsia="es-CL"/>
        </w:rPr>
        <w:t>    5. Entrarán en funcionamiento entre el 1 de enero y el 30 de junio de 2023 quince Servicios Locales.</w:t>
      </w:r>
    </w:p>
    <w:p w14:paraId="47D339D1" w14:textId="77777777" w:rsidR="00E47E46" w:rsidRDefault="00E47E46" w:rsidP="00E47E46">
      <w:pPr>
        <w:ind w:firstLine="567"/>
        <w:rPr>
          <w:rFonts w:ascii="Century Gothic" w:hAnsi="Century Gothic"/>
          <w:i/>
          <w:iCs/>
          <w:sz w:val="20"/>
          <w:szCs w:val="20"/>
          <w:lang w:eastAsia="es-CL"/>
        </w:rPr>
      </w:pPr>
      <w:r>
        <w:rPr>
          <w:rFonts w:ascii="Century Gothic" w:hAnsi="Century Gothic"/>
          <w:i/>
          <w:iCs/>
          <w:sz w:val="20"/>
          <w:szCs w:val="20"/>
          <w:lang w:eastAsia="es-CL"/>
        </w:rPr>
        <w:t>    6. Entrarán en funcionamiento entre el 1 de enero y el 30 de junio de 2024 quince Servicios Locales.</w:t>
      </w:r>
    </w:p>
    <w:p w14:paraId="0D5DE317" w14:textId="77777777" w:rsidR="00E47E46" w:rsidRDefault="00E47E46" w:rsidP="00E47E46">
      <w:pPr>
        <w:ind w:firstLine="567"/>
        <w:rPr>
          <w:rFonts w:ascii="Century Gothic" w:hAnsi="Century Gothic"/>
          <w:i/>
          <w:iCs/>
          <w:sz w:val="20"/>
          <w:szCs w:val="20"/>
          <w:lang w:eastAsia="es-CL"/>
        </w:rPr>
      </w:pPr>
      <w:r>
        <w:rPr>
          <w:rFonts w:ascii="Century Gothic" w:hAnsi="Century Gothic"/>
          <w:i/>
          <w:iCs/>
          <w:sz w:val="20"/>
          <w:szCs w:val="20"/>
          <w:lang w:eastAsia="es-CL"/>
        </w:rPr>
        <w:t>    7. Entrarán en funcionamiento entre el 1 de enero y el 30 de junio de 2025 catorce Servicios Locales.”</w:t>
      </w:r>
    </w:p>
    <w:p w14:paraId="65DDACDD" w14:textId="77777777" w:rsidR="00E47E46" w:rsidRDefault="00E47E46" w:rsidP="00E47E46">
      <w:pPr>
        <w:ind w:firstLine="567"/>
        <w:rPr>
          <w:rFonts w:ascii="Century Gothic" w:hAnsi="Century Gothic"/>
          <w:sz w:val="20"/>
          <w:szCs w:val="20"/>
          <w:lang w:eastAsia="es-CL"/>
        </w:rPr>
      </w:pPr>
    </w:p>
    <w:p w14:paraId="043D8D61"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Es por esta razón, que mediante el Decreto </w:t>
      </w:r>
      <w:proofErr w:type="spellStart"/>
      <w:r>
        <w:rPr>
          <w:rFonts w:ascii="Century Gothic" w:hAnsi="Century Gothic"/>
          <w:sz w:val="20"/>
          <w:szCs w:val="20"/>
          <w:lang w:eastAsia="es-CL"/>
        </w:rPr>
        <w:t>N°</w:t>
      </w:r>
      <w:proofErr w:type="spellEnd"/>
      <w:r>
        <w:rPr>
          <w:rFonts w:ascii="Century Gothic" w:hAnsi="Century Gothic"/>
          <w:sz w:val="20"/>
          <w:szCs w:val="20"/>
          <w:lang w:eastAsia="es-CL"/>
        </w:rPr>
        <w:t xml:space="preserve"> 20, de 2021, del Ministerio de Educación, se determinaron los 15 Servicios Locales que entrarían en funcionamiento a partir del año 2022, dando cumplimiento de esta forma al mandato legal antes aludido.</w:t>
      </w:r>
    </w:p>
    <w:p w14:paraId="486575B7"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Sin perjuicio de lo anterior, y en atención a las numerosas solicitudes de aplazamiento, postergación y/o extensión realizadas por diversos actores de todos los territorios involucrados en el citado Decreto, como también de Honorables Senadores, Diputados y gremios de funcionarios de la educación, es que S.E. mandató al Ministerio de Educación a revisar las posibilidades legales y reglamentarias para explorar la utilización de la tercera alternativa que otorga la Ley para modificar el calendario de la segunda etapa de instalación que contempla la ley. </w:t>
      </w:r>
    </w:p>
    <w:p w14:paraId="7761BF26" w14:textId="77777777" w:rsidR="00E47E46" w:rsidRDefault="00E47E46" w:rsidP="00E47E46">
      <w:pPr>
        <w:ind w:firstLine="567"/>
        <w:rPr>
          <w:rFonts w:ascii="Century Gothic" w:hAnsi="Century Gothic"/>
          <w:i/>
          <w:iCs/>
          <w:sz w:val="20"/>
          <w:szCs w:val="20"/>
          <w:lang w:eastAsia="es-CL"/>
        </w:rPr>
      </w:pPr>
      <w:r>
        <w:rPr>
          <w:rFonts w:ascii="Century Gothic" w:hAnsi="Century Gothic"/>
          <w:sz w:val="20"/>
          <w:szCs w:val="20"/>
          <w:lang w:eastAsia="es-CL"/>
        </w:rPr>
        <w:t>Esta tercera alternativa se encuentra regulada en el inciso penúltimo del artículo sexto transitorio de la Ley en el siguiente tenor</w:t>
      </w:r>
      <w:r>
        <w:rPr>
          <w:rFonts w:ascii="Century Gothic" w:hAnsi="Century Gothic"/>
          <w:i/>
          <w:iCs/>
          <w:sz w:val="20"/>
          <w:szCs w:val="20"/>
          <w:lang w:eastAsia="es-CL"/>
        </w:rPr>
        <w:t xml:space="preserve">: “El </w:t>
      </w:r>
      <w:proofErr w:type="gramStart"/>
      <w:r>
        <w:rPr>
          <w:rFonts w:ascii="Century Gothic" w:hAnsi="Century Gothic"/>
          <w:i/>
          <w:iCs/>
          <w:sz w:val="20"/>
          <w:szCs w:val="20"/>
          <w:lang w:eastAsia="es-CL"/>
        </w:rPr>
        <w:t>Presidente</w:t>
      </w:r>
      <w:proofErr w:type="gramEnd"/>
      <w:r>
        <w:rPr>
          <w:rFonts w:ascii="Century Gothic" w:hAnsi="Century Gothic"/>
          <w:i/>
          <w:iCs/>
          <w:sz w:val="20"/>
          <w:szCs w:val="20"/>
          <w:lang w:eastAsia="es-CL"/>
        </w:rPr>
        <w:t xml:space="preserve"> de la República, a través de un decreto fundado del Ministerio de Educación, suscrito además por el Ministro de Hacienda, </w:t>
      </w:r>
      <w:r>
        <w:rPr>
          <w:rFonts w:ascii="Century Gothic" w:hAnsi="Century Gothic"/>
          <w:i/>
          <w:iCs/>
          <w:sz w:val="20"/>
          <w:szCs w:val="20"/>
          <w:lang w:eastAsia="es-CL"/>
        </w:rPr>
        <w:lastRenderedPageBreak/>
        <w:t xml:space="preserve">podrá, en el marco de las reglas anteriores, modificar el calendario de la segunda etapa de instalación”. </w:t>
      </w:r>
    </w:p>
    <w:p w14:paraId="7BEF148E"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En este orden de ideas, </w:t>
      </w:r>
      <w:r>
        <w:rPr>
          <w:rFonts w:ascii="Century Gothic" w:hAnsi="Century Gothic"/>
          <w:b/>
          <w:bCs/>
          <w:sz w:val="20"/>
          <w:szCs w:val="20"/>
          <w:u w:val="single"/>
          <w:lang w:eastAsia="es-CL"/>
        </w:rPr>
        <w:t xml:space="preserve">el </w:t>
      </w:r>
      <w:proofErr w:type="gramStart"/>
      <w:r>
        <w:rPr>
          <w:rFonts w:ascii="Century Gothic" w:hAnsi="Century Gothic"/>
          <w:b/>
          <w:bCs/>
          <w:sz w:val="20"/>
          <w:szCs w:val="20"/>
          <w:u w:val="single"/>
          <w:lang w:eastAsia="es-CL"/>
        </w:rPr>
        <w:t>Presidente</w:t>
      </w:r>
      <w:proofErr w:type="gramEnd"/>
      <w:r>
        <w:rPr>
          <w:rFonts w:ascii="Century Gothic" w:hAnsi="Century Gothic"/>
          <w:b/>
          <w:bCs/>
          <w:sz w:val="20"/>
          <w:szCs w:val="20"/>
          <w:u w:val="single"/>
          <w:lang w:eastAsia="es-CL"/>
        </w:rPr>
        <w:t xml:space="preserve"> de la República puede modificar el calendario de instalación a través de un decreto fundado del Ministerio de Educación, suscrito además por el Ministerio de Hacienda, ajustando las fechas de entrada en funcionamiento que estableció el legislador para los Servicios Locales, considerando como límite el año 2025</w:t>
      </w:r>
      <w:r>
        <w:rPr>
          <w:rFonts w:ascii="Century Gothic" w:hAnsi="Century Gothic"/>
          <w:sz w:val="20"/>
          <w:szCs w:val="20"/>
          <w:lang w:eastAsia="es-CL"/>
        </w:rPr>
        <w:t xml:space="preserve">. </w:t>
      </w:r>
    </w:p>
    <w:p w14:paraId="1DF48040" w14:textId="77777777" w:rsidR="00E47E46" w:rsidRDefault="00E47E46" w:rsidP="00E47E46">
      <w:pPr>
        <w:ind w:firstLine="567"/>
        <w:rPr>
          <w:rFonts w:ascii="Century Gothic" w:hAnsi="Century Gothic"/>
          <w:sz w:val="20"/>
          <w:szCs w:val="20"/>
          <w:lang w:eastAsia="es-CL"/>
        </w:rPr>
      </w:pPr>
      <w:r>
        <w:rPr>
          <w:rFonts w:ascii="Century Gothic" w:hAnsi="Century Gothic"/>
          <w:sz w:val="20"/>
          <w:szCs w:val="20"/>
          <w:lang w:eastAsia="es-CL"/>
        </w:rPr>
        <w:t xml:space="preserve">En el proceso de análisis de las solicitudes realizadas por la mayoría de las comunas que contemplan los 15 SLEP indicados en el referido Decreto </w:t>
      </w:r>
      <w:proofErr w:type="spellStart"/>
      <w:r>
        <w:rPr>
          <w:rFonts w:ascii="Century Gothic" w:hAnsi="Century Gothic"/>
          <w:sz w:val="20"/>
          <w:szCs w:val="20"/>
          <w:lang w:eastAsia="es-CL"/>
        </w:rPr>
        <w:t>N°</w:t>
      </w:r>
      <w:proofErr w:type="spellEnd"/>
      <w:r>
        <w:rPr>
          <w:rFonts w:ascii="Century Gothic" w:hAnsi="Century Gothic"/>
          <w:sz w:val="20"/>
          <w:szCs w:val="20"/>
          <w:lang w:eastAsia="es-CL"/>
        </w:rPr>
        <w:t xml:space="preserve"> 20, se procedió a efectuar un estudio pormenorizado de los territorios que conforman los 59 SLEP cuya instalación se encuentra pendiente. En este contexto, la Subsecretaría de Educación solicitó, entre otras medidas, al Centro de Políticas Públicas de la Pontificia Universidad Católica una evaluación de una nueva distribución de los SLEP, con el objeto de analizar nuevos escenarios de implementación, la que se encuentra contenida en la minuta “Evaluación de Implementación de la Ley </w:t>
      </w:r>
      <w:proofErr w:type="spellStart"/>
      <w:r>
        <w:rPr>
          <w:rFonts w:ascii="Century Gothic" w:hAnsi="Century Gothic"/>
          <w:sz w:val="20"/>
          <w:szCs w:val="20"/>
          <w:lang w:eastAsia="es-CL"/>
        </w:rPr>
        <w:t>N°</w:t>
      </w:r>
      <w:proofErr w:type="spellEnd"/>
      <w:r>
        <w:rPr>
          <w:rFonts w:ascii="Century Gothic" w:hAnsi="Century Gothic"/>
          <w:sz w:val="20"/>
          <w:szCs w:val="20"/>
          <w:lang w:eastAsia="es-CL"/>
        </w:rPr>
        <w:t xml:space="preserve"> 21.040 al año 2025, con gradualidad”, del citado centro de estudios.</w:t>
      </w:r>
    </w:p>
    <w:p w14:paraId="47E8EA0C" w14:textId="77777777" w:rsidR="00E47E46" w:rsidRDefault="00E47E46" w:rsidP="00E47E46">
      <w:pPr>
        <w:ind w:firstLine="567"/>
        <w:rPr>
          <w:rFonts w:ascii="Century Gothic" w:hAnsi="Century Gothic"/>
          <w:b/>
          <w:bCs/>
          <w:sz w:val="20"/>
          <w:szCs w:val="20"/>
          <w:lang w:eastAsia="es-CL"/>
        </w:rPr>
      </w:pPr>
      <w:r>
        <w:rPr>
          <w:rFonts w:ascii="Century Gothic" w:hAnsi="Century Gothic"/>
          <w:sz w:val="20"/>
          <w:szCs w:val="20"/>
          <w:lang w:eastAsia="es-CL"/>
        </w:rPr>
        <w:t xml:space="preserve">De esta manera, considerando lo expuesto por la referida minuta, la emergencia sanitaria y los diversos informes efectuados sobre el proceso de instalación, el </w:t>
      </w:r>
      <w:proofErr w:type="gramStart"/>
      <w:r>
        <w:rPr>
          <w:rFonts w:ascii="Century Gothic" w:hAnsi="Century Gothic"/>
          <w:sz w:val="20"/>
          <w:szCs w:val="20"/>
          <w:lang w:eastAsia="es-CL"/>
        </w:rPr>
        <w:t>Presidente</w:t>
      </w:r>
      <w:proofErr w:type="gramEnd"/>
      <w:r>
        <w:rPr>
          <w:rFonts w:ascii="Century Gothic" w:hAnsi="Century Gothic"/>
          <w:sz w:val="20"/>
          <w:szCs w:val="20"/>
          <w:lang w:eastAsia="es-CL"/>
        </w:rPr>
        <w:t xml:space="preserve"> de la República </w:t>
      </w:r>
      <w:r>
        <w:rPr>
          <w:rFonts w:ascii="Century Gothic" w:hAnsi="Century Gothic"/>
          <w:b/>
          <w:bCs/>
          <w:sz w:val="20"/>
          <w:szCs w:val="20"/>
          <w:lang w:eastAsia="es-CL"/>
        </w:rPr>
        <w:t xml:space="preserve">ha decidido modificar el mentado Decreto </w:t>
      </w:r>
      <w:proofErr w:type="spellStart"/>
      <w:r>
        <w:rPr>
          <w:rFonts w:ascii="Century Gothic" w:hAnsi="Century Gothic"/>
          <w:b/>
          <w:bCs/>
          <w:sz w:val="20"/>
          <w:szCs w:val="20"/>
          <w:lang w:eastAsia="es-CL"/>
        </w:rPr>
        <w:t>N°</w:t>
      </w:r>
      <w:proofErr w:type="spellEnd"/>
      <w:r>
        <w:rPr>
          <w:rFonts w:ascii="Century Gothic" w:hAnsi="Century Gothic"/>
          <w:b/>
          <w:bCs/>
          <w:sz w:val="20"/>
          <w:szCs w:val="20"/>
          <w:lang w:eastAsia="es-CL"/>
        </w:rPr>
        <w:t xml:space="preserve"> 20 mediante el Decreto </w:t>
      </w:r>
      <w:proofErr w:type="spellStart"/>
      <w:r>
        <w:rPr>
          <w:rFonts w:ascii="Century Gothic" w:hAnsi="Century Gothic"/>
          <w:b/>
          <w:bCs/>
          <w:sz w:val="20"/>
          <w:szCs w:val="20"/>
          <w:lang w:eastAsia="es-CL"/>
        </w:rPr>
        <w:t>N°</w:t>
      </w:r>
      <w:proofErr w:type="spellEnd"/>
      <w:r>
        <w:rPr>
          <w:rFonts w:ascii="Century Gothic" w:hAnsi="Century Gothic"/>
          <w:b/>
          <w:bCs/>
          <w:sz w:val="20"/>
          <w:szCs w:val="20"/>
          <w:lang w:eastAsia="es-CL"/>
        </w:rPr>
        <w:t xml:space="preserve"> 68, de 2021, del Ministerio de Educación, </w:t>
      </w:r>
      <w:r>
        <w:rPr>
          <w:rFonts w:ascii="Century Gothic" w:hAnsi="Century Gothic"/>
          <w:b/>
          <w:bCs/>
          <w:sz w:val="20"/>
          <w:szCs w:val="20"/>
          <w:u w:val="single"/>
          <w:lang w:eastAsia="es-CL"/>
        </w:rPr>
        <w:t xml:space="preserve">determinándose que iniciarán sus funciones a partir del 1° de marzo de 2022, los siguientes seis Servicios Locales: Iquique, </w:t>
      </w:r>
      <w:proofErr w:type="spellStart"/>
      <w:r>
        <w:rPr>
          <w:rFonts w:ascii="Century Gothic" w:hAnsi="Century Gothic"/>
          <w:b/>
          <w:bCs/>
          <w:sz w:val="20"/>
          <w:szCs w:val="20"/>
          <w:u w:val="single"/>
          <w:lang w:eastAsia="es-CL"/>
        </w:rPr>
        <w:t>Licancabur</w:t>
      </w:r>
      <w:proofErr w:type="spellEnd"/>
      <w:r>
        <w:rPr>
          <w:rFonts w:ascii="Century Gothic" w:hAnsi="Century Gothic"/>
          <w:b/>
          <w:bCs/>
          <w:sz w:val="20"/>
          <w:szCs w:val="20"/>
          <w:u w:val="single"/>
          <w:lang w:eastAsia="es-CL"/>
        </w:rPr>
        <w:t>, Maule Costa, Punilla Cordillera, Aysén y Magallanes</w:t>
      </w:r>
      <w:r>
        <w:rPr>
          <w:rFonts w:ascii="Century Gothic" w:hAnsi="Century Gothic"/>
          <w:b/>
          <w:bCs/>
          <w:sz w:val="20"/>
          <w:szCs w:val="20"/>
          <w:lang w:eastAsia="es-CL"/>
        </w:rPr>
        <w:t>.</w:t>
      </w:r>
    </w:p>
    <w:p w14:paraId="5EAD03E6" w14:textId="288C2404" w:rsidR="00C55541" w:rsidRPr="00E47E46" w:rsidRDefault="00C55541" w:rsidP="00E47E46"/>
    <w:sectPr w:rsidR="00C55541" w:rsidRPr="00E47E46" w:rsidSect="003138A1">
      <w:headerReference w:type="default" r:id="rId11"/>
      <w:footerReference w:type="default" r:id="rId12"/>
      <w:headerReference w:type="first" r:id="rId13"/>
      <w:pgSz w:w="12240" w:h="15840"/>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8C56" w14:textId="77777777" w:rsidR="00F8040D" w:rsidRDefault="00F8040D" w:rsidP="0025069A">
      <w:pPr>
        <w:spacing w:after="0" w:line="240" w:lineRule="auto"/>
      </w:pPr>
      <w:r>
        <w:separator/>
      </w:r>
    </w:p>
  </w:endnote>
  <w:endnote w:type="continuationSeparator" w:id="0">
    <w:p w14:paraId="1401E776" w14:textId="77777777" w:rsidR="00F8040D" w:rsidRDefault="00F8040D" w:rsidP="0025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83971"/>
      <w:docPartObj>
        <w:docPartGallery w:val="Page Numbers (Bottom of Page)"/>
        <w:docPartUnique/>
      </w:docPartObj>
    </w:sdtPr>
    <w:sdtEndPr/>
    <w:sdtContent>
      <w:p w14:paraId="7546CFDB" w14:textId="137A2797" w:rsidR="00CA372B" w:rsidRDefault="00CA372B">
        <w:pPr>
          <w:pStyle w:val="Piedepgina"/>
          <w:jc w:val="right"/>
        </w:pPr>
        <w:r>
          <w:fldChar w:fldCharType="begin"/>
        </w:r>
        <w:r>
          <w:instrText>PAGE   \* MERGEFORMAT</w:instrText>
        </w:r>
        <w:r>
          <w:fldChar w:fldCharType="separate"/>
        </w:r>
        <w:r>
          <w:rPr>
            <w:lang w:val="es-ES"/>
          </w:rPr>
          <w:t>2</w:t>
        </w:r>
        <w:r>
          <w:fldChar w:fldCharType="end"/>
        </w:r>
      </w:p>
    </w:sdtContent>
  </w:sdt>
  <w:p w14:paraId="1F533476" w14:textId="77777777" w:rsidR="00CA372B" w:rsidRDefault="00CA372B">
    <w:pPr>
      <w:pStyle w:val="Piedepgina"/>
    </w:pPr>
  </w:p>
  <w:p w14:paraId="3C9ECB01" w14:textId="77777777" w:rsidR="00CA372B" w:rsidRDefault="00CA37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0B5BC" w14:textId="77777777" w:rsidR="00F8040D" w:rsidRDefault="00F8040D" w:rsidP="0025069A">
      <w:pPr>
        <w:spacing w:after="0" w:line="240" w:lineRule="auto"/>
      </w:pPr>
      <w:r>
        <w:separator/>
      </w:r>
    </w:p>
  </w:footnote>
  <w:footnote w:type="continuationSeparator" w:id="0">
    <w:p w14:paraId="3341225F" w14:textId="77777777" w:rsidR="00F8040D" w:rsidRDefault="00F8040D" w:rsidP="00250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D646" w14:textId="1BF78C9A" w:rsidR="00CA372B" w:rsidRDefault="00CA372B" w:rsidP="008E3477">
    <w:pPr>
      <w:spacing w:after="0"/>
    </w:pPr>
    <w:r>
      <w:rPr>
        <w:noProof/>
        <w:lang w:val="es-ES_tradnl"/>
      </w:rPr>
      <w:drawing>
        <wp:inline distT="114300" distB="114300" distL="114300" distR="114300" wp14:anchorId="0739194A" wp14:editId="348BE0B5">
          <wp:extent cx="1476375" cy="190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190500"/>
                  </a:xfrm>
                  <a:prstGeom prst="rect">
                    <a:avLst/>
                  </a:prstGeom>
                  <a:ln/>
                </pic:spPr>
              </pic:pic>
            </a:graphicData>
          </a:graphic>
        </wp:inline>
      </w:drawing>
    </w:r>
  </w:p>
  <w:tbl>
    <w:tblPr>
      <w:tblW w:w="8789" w:type="dxa"/>
      <w:tblLayout w:type="fixed"/>
      <w:tblLook w:val="0600" w:firstRow="0" w:lastRow="0" w:firstColumn="0" w:lastColumn="0" w:noHBand="1" w:noVBand="1"/>
    </w:tblPr>
    <w:tblGrid>
      <w:gridCol w:w="4890"/>
      <w:gridCol w:w="3899"/>
    </w:tblGrid>
    <w:tr w:rsidR="00CA372B" w:rsidRPr="008311ED" w14:paraId="641EA8A8" w14:textId="77777777" w:rsidTr="007B02BF">
      <w:trPr>
        <w:trHeight w:val="1300"/>
      </w:trPr>
      <w:tc>
        <w:tcPr>
          <w:tcW w:w="4890" w:type="dxa"/>
          <w:shd w:val="clear" w:color="auto" w:fill="auto"/>
          <w:tcMar>
            <w:top w:w="100" w:type="dxa"/>
            <w:left w:w="100" w:type="dxa"/>
            <w:bottom w:w="100" w:type="dxa"/>
            <w:right w:w="100" w:type="dxa"/>
          </w:tcMar>
          <w:vAlign w:val="center"/>
        </w:tcPr>
        <w:p w14:paraId="158D0D67" w14:textId="77777777" w:rsidR="00CA372B" w:rsidRDefault="00CA372B" w:rsidP="0025069A">
          <w:pPr>
            <w:ind w:left="-141"/>
          </w:pPr>
          <w:r>
            <w:rPr>
              <w:noProof/>
              <w:lang w:val="es-ES_tradnl"/>
            </w:rPr>
            <w:drawing>
              <wp:inline distT="114300" distB="114300" distL="114300" distR="114300" wp14:anchorId="75385BC3" wp14:editId="0E254A25">
                <wp:extent cx="1604963" cy="96662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4963" cy="966625"/>
                        </a:xfrm>
                        <a:prstGeom prst="rect">
                          <a:avLst/>
                        </a:prstGeom>
                        <a:ln/>
                      </pic:spPr>
                    </pic:pic>
                  </a:graphicData>
                </a:graphic>
              </wp:inline>
            </w:drawing>
          </w:r>
        </w:p>
      </w:tc>
      <w:tc>
        <w:tcPr>
          <w:tcW w:w="3899" w:type="dxa"/>
          <w:tcBorders>
            <w:top w:val="nil"/>
            <w:left w:val="nil"/>
            <w:bottom w:val="nil"/>
            <w:right w:val="nil"/>
          </w:tcBorders>
          <w:tcMar>
            <w:top w:w="100" w:type="dxa"/>
            <w:left w:w="100" w:type="dxa"/>
            <w:bottom w:w="100" w:type="dxa"/>
            <w:right w:w="100" w:type="dxa"/>
          </w:tcMar>
          <w:vAlign w:val="center"/>
        </w:tcPr>
        <w:p w14:paraId="5F47F751" w14:textId="77777777" w:rsidR="00CA372B" w:rsidRPr="008311ED" w:rsidRDefault="00CA372B" w:rsidP="0025069A">
          <w:pPr>
            <w:widowControl w:val="0"/>
            <w:ind w:right="-104"/>
            <w:rPr>
              <w:rFonts w:eastAsia="Verdana"/>
              <w:color w:val="282828"/>
              <w:sz w:val="20"/>
              <w:szCs w:val="20"/>
            </w:rPr>
          </w:pPr>
          <w:r w:rsidRPr="008311ED">
            <w:rPr>
              <w:rFonts w:eastAsia="Verdana"/>
              <w:b/>
              <w:color w:val="282828"/>
              <w:sz w:val="20"/>
              <w:szCs w:val="20"/>
            </w:rPr>
            <w:t>DIRECCIÓN DE EDUCACIÓN PÚBLICA</w:t>
          </w:r>
          <w:r w:rsidRPr="008311ED">
            <w:rPr>
              <w:rFonts w:eastAsia="Verdana"/>
              <w:b/>
              <w:color w:val="282828"/>
              <w:sz w:val="20"/>
              <w:szCs w:val="20"/>
            </w:rPr>
            <w:br/>
          </w:r>
          <w:r w:rsidRPr="008311ED">
            <w:rPr>
              <w:rFonts w:eastAsia="Verdana"/>
              <w:color w:val="282828"/>
              <w:sz w:val="20"/>
              <w:szCs w:val="20"/>
            </w:rPr>
            <w:t>Subdepartamento de Participación y Vinculación Territorial</w:t>
          </w:r>
        </w:p>
        <w:p w14:paraId="66E7C287" w14:textId="2EF7DC41" w:rsidR="00CA372B" w:rsidRPr="008311ED" w:rsidRDefault="00E47E46" w:rsidP="0025069A">
          <w:pPr>
            <w:widowControl w:val="0"/>
            <w:jc w:val="right"/>
            <w:rPr>
              <w:sz w:val="20"/>
              <w:szCs w:val="20"/>
            </w:rPr>
          </w:pPr>
          <w:r>
            <w:rPr>
              <w:sz w:val="20"/>
              <w:szCs w:val="20"/>
            </w:rPr>
            <w:t>27</w:t>
          </w:r>
          <w:r w:rsidR="00AE5012">
            <w:rPr>
              <w:sz w:val="20"/>
              <w:szCs w:val="20"/>
            </w:rPr>
            <w:t xml:space="preserve"> </w:t>
          </w:r>
          <w:r w:rsidR="00CA372B">
            <w:rPr>
              <w:sz w:val="20"/>
              <w:szCs w:val="20"/>
            </w:rPr>
            <w:t xml:space="preserve">de </w:t>
          </w:r>
          <w:r>
            <w:rPr>
              <w:sz w:val="20"/>
              <w:szCs w:val="20"/>
            </w:rPr>
            <w:t>julio</w:t>
          </w:r>
          <w:r w:rsidR="00CA372B" w:rsidRPr="008311ED">
            <w:rPr>
              <w:sz w:val="20"/>
              <w:szCs w:val="20"/>
            </w:rPr>
            <w:t xml:space="preserve"> de 20</w:t>
          </w:r>
          <w:r>
            <w:rPr>
              <w:sz w:val="20"/>
              <w:szCs w:val="20"/>
            </w:rPr>
            <w:t>21</w:t>
          </w:r>
          <w:r w:rsidR="00F8040D">
            <w:rPr>
              <w:sz w:val="20"/>
              <w:szCs w:val="20"/>
            </w:rPr>
            <w:pict w14:anchorId="0EE72CF8">
              <v:rect id="_x0000_i1025" style="width:0;height:1.5pt" o:hralign="center" o:hrstd="t" o:hr="t" fillcolor="#a0a0a0" stroked="f"/>
            </w:pict>
          </w:r>
        </w:p>
      </w:tc>
    </w:tr>
  </w:tbl>
  <w:p w14:paraId="5884B7E5" w14:textId="77777777" w:rsidR="00CA372B" w:rsidRPr="0014052C" w:rsidRDefault="00CA372B" w:rsidP="0014052C">
    <w:pPr>
      <w:pStyle w:val="Encabezad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03C9" w14:textId="77777777" w:rsidR="00CA372B" w:rsidRDefault="00CA372B" w:rsidP="00C55541">
    <w:r>
      <w:rPr>
        <w:noProof/>
        <w:lang w:val="es-ES_tradnl"/>
      </w:rPr>
      <w:drawing>
        <wp:inline distT="114300" distB="114300" distL="114300" distR="114300" wp14:anchorId="46C5B021" wp14:editId="2902B443">
          <wp:extent cx="1476375" cy="1905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76375" cy="190500"/>
                  </a:xfrm>
                  <a:prstGeom prst="rect">
                    <a:avLst/>
                  </a:prstGeom>
                  <a:ln/>
                </pic:spPr>
              </pic:pic>
            </a:graphicData>
          </a:graphic>
        </wp:inline>
      </w:drawing>
    </w:r>
  </w:p>
  <w:tbl>
    <w:tblPr>
      <w:tblW w:w="8789" w:type="dxa"/>
      <w:tblLayout w:type="fixed"/>
      <w:tblLook w:val="0600" w:firstRow="0" w:lastRow="0" w:firstColumn="0" w:lastColumn="0" w:noHBand="1" w:noVBand="1"/>
    </w:tblPr>
    <w:tblGrid>
      <w:gridCol w:w="4890"/>
      <w:gridCol w:w="3899"/>
    </w:tblGrid>
    <w:tr w:rsidR="00CA372B" w:rsidRPr="008311ED" w14:paraId="573C7E4A" w14:textId="77777777" w:rsidTr="00321797">
      <w:trPr>
        <w:trHeight w:val="1300"/>
      </w:trPr>
      <w:tc>
        <w:tcPr>
          <w:tcW w:w="4890" w:type="dxa"/>
          <w:shd w:val="clear" w:color="auto" w:fill="auto"/>
          <w:tcMar>
            <w:top w:w="100" w:type="dxa"/>
            <w:left w:w="100" w:type="dxa"/>
            <w:bottom w:w="100" w:type="dxa"/>
            <w:right w:w="100" w:type="dxa"/>
          </w:tcMar>
          <w:vAlign w:val="center"/>
        </w:tcPr>
        <w:p w14:paraId="67FBFF5F" w14:textId="77777777" w:rsidR="00CA372B" w:rsidRDefault="00CA372B" w:rsidP="00C55541">
          <w:pPr>
            <w:ind w:left="-141"/>
          </w:pPr>
          <w:r>
            <w:rPr>
              <w:noProof/>
              <w:lang w:val="es-ES_tradnl"/>
            </w:rPr>
            <w:drawing>
              <wp:inline distT="114300" distB="114300" distL="114300" distR="114300" wp14:anchorId="67CA32BF" wp14:editId="5309C35E">
                <wp:extent cx="1604963" cy="96662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04963" cy="966625"/>
                        </a:xfrm>
                        <a:prstGeom prst="rect">
                          <a:avLst/>
                        </a:prstGeom>
                        <a:ln/>
                      </pic:spPr>
                    </pic:pic>
                  </a:graphicData>
                </a:graphic>
              </wp:inline>
            </w:drawing>
          </w:r>
        </w:p>
      </w:tc>
      <w:tc>
        <w:tcPr>
          <w:tcW w:w="3899" w:type="dxa"/>
          <w:tcBorders>
            <w:top w:val="nil"/>
            <w:left w:val="nil"/>
            <w:bottom w:val="nil"/>
            <w:right w:val="nil"/>
          </w:tcBorders>
          <w:tcMar>
            <w:top w:w="100" w:type="dxa"/>
            <w:left w:w="100" w:type="dxa"/>
            <w:bottom w:w="100" w:type="dxa"/>
            <w:right w:w="100" w:type="dxa"/>
          </w:tcMar>
          <w:vAlign w:val="center"/>
        </w:tcPr>
        <w:p w14:paraId="4980D90C" w14:textId="77777777" w:rsidR="00CA372B" w:rsidRPr="008311ED" w:rsidRDefault="00CA372B" w:rsidP="00C55541">
          <w:pPr>
            <w:widowControl w:val="0"/>
            <w:ind w:right="-104"/>
            <w:rPr>
              <w:rFonts w:eastAsia="Verdana"/>
              <w:color w:val="282828"/>
              <w:sz w:val="20"/>
              <w:szCs w:val="20"/>
            </w:rPr>
          </w:pPr>
          <w:r w:rsidRPr="008311ED">
            <w:rPr>
              <w:rFonts w:eastAsia="Verdana"/>
              <w:b/>
              <w:color w:val="282828"/>
              <w:sz w:val="20"/>
              <w:szCs w:val="20"/>
            </w:rPr>
            <w:t>DIRECCIÓN DE EDUCACIÓN PÚBLICA</w:t>
          </w:r>
          <w:r w:rsidRPr="008311ED">
            <w:rPr>
              <w:rFonts w:eastAsia="Verdana"/>
              <w:b/>
              <w:color w:val="282828"/>
              <w:sz w:val="20"/>
              <w:szCs w:val="20"/>
            </w:rPr>
            <w:br/>
          </w:r>
          <w:r w:rsidRPr="008311ED">
            <w:rPr>
              <w:rFonts w:eastAsia="Verdana"/>
              <w:color w:val="282828"/>
              <w:sz w:val="20"/>
              <w:szCs w:val="20"/>
            </w:rPr>
            <w:t>Subdepartamento de Participación y Vinculación Territorial</w:t>
          </w:r>
        </w:p>
        <w:p w14:paraId="6F136CA9" w14:textId="662C1ECB" w:rsidR="00CA372B" w:rsidRPr="008311ED" w:rsidRDefault="00AE5012" w:rsidP="00C55541">
          <w:pPr>
            <w:widowControl w:val="0"/>
            <w:jc w:val="right"/>
            <w:rPr>
              <w:sz w:val="20"/>
              <w:szCs w:val="20"/>
            </w:rPr>
          </w:pPr>
          <w:proofErr w:type="spellStart"/>
          <w:r w:rsidRPr="00AE5012">
            <w:rPr>
              <w:sz w:val="20"/>
              <w:szCs w:val="20"/>
              <w:highlight w:val="yellow"/>
            </w:rPr>
            <w:t>xx</w:t>
          </w:r>
          <w:proofErr w:type="spellEnd"/>
          <w:r w:rsidR="00CA372B">
            <w:rPr>
              <w:sz w:val="20"/>
              <w:szCs w:val="20"/>
            </w:rPr>
            <w:t xml:space="preserve"> de </w:t>
          </w:r>
          <w:proofErr w:type="spellStart"/>
          <w:r w:rsidRPr="00AE5012">
            <w:rPr>
              <w:sz w:val="20"/>
              <w:szCs w:val="20"/>
              <w:highlight w:val="yellow"/>
            </w:rPr>
            <w:t>xxxx</w:t>
          </w:r>
          <w:proofErr w:type="spellEnd"/>
          <w:r w:rsidR="00CA372B" w:rsidRPr="008311ED">
            <w:rPr>
              <w:sz w:val="20"/>
              <w:szCs w:val="20"/>
            </w:rPr>
            <w:t xml:space="preserve"> de </w:t>
          </w:r>
          <w:r>
            <w:rPr>
              <w:sz w:val="20"/>
              <w:szCs w:val="20"/>
            </w:rPr>
            <w:t>2</w:t>
          </w:r>
          <w:r w:rsidR="00CA372B" w:rsidRPr="008311ED">
            <w:rPr>
              <w:sz w:val="20"/>
              <w:szCs w:val="20"/>
            </w:rPr>
            <w:t>0</w:t>
          </w:r>
          <w:r w:rsidRPr="00AE5012">
            <w:rPr>
              <w:sz w:val="20"/>
              <w:szCs w:val="20"/>
              <w:highlight w:val="yellow"/>
            </w:rPr>
            <w:t>xx</w:t>
          </w:r>
          <w:r w:rsidR="00F8040D">
            <w:rPr>
              <w:sz w:val="20"/>
              <w:szCs w:val="20"/>
            </w:rPr>
            <w:pict w14:anchorId="5CDD96FB">
              <v:rect id="_x0000_i1026" style="width:0;height:1.5pt" o:hralign="center" o:hrstd="t" o:hr="t" fillcolor="#a0a0a0" stroked="f"/>
            </w:pict>
          </w:r>
        </w:p>
      </w:tc>
    </w:tr>
  </w:tbl>
  <w:p w14:paraId="15E67477" w14:textId="77777777" w:rsidR="00CA372B" w:rsidRDefault="00CA3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9F5"/>
    <w:multiLevelType w:val="multilevel"/>
    <w:tmpl w:val="4718F7EE"/>
    <w:lvl w:ilvl="0">
      <w:start w:val="1"/>
      <w:numFmt w:val="decimal"/>
      <w:pStyle w:val="Ttulo2"/>
      <w:lvlText w:val="%1."/>
      <w:lvlJc w:val="left"/>
      <w:pPr>
        <w:ind w:left="360" w:hanging="360"/>
      </w:pPr>
      <w:rPr>
        <w:rFonts w:hint="default"/>
      </w:rPr>
    </w:lvl>
    <w:lvl w:ilvl="1">
      <w:start w:val="1"/>
      <w:numFmt w:val="decimal"/>
      <w:pStyle w:val="Ttulo3"/>
      <w:lvlText w:val="%1.%2."/>
      <w:lvlJc w:val="left"/>
      <w:pPr>
        <w:ind w:left="792" w:hanging="432"/>
      </w:pPr>
      <w:rPr>
        <w:rFonts w:hint="default"/>
      </w:rPr>
    </w:lvl>
    <w:lvl w:ilvl="2">
      <w:start w:val="1"/>
      <w:numFmt w:val="decimal"/>
      <w:pStyle w:val="Ttulo4"/>
      <w:lvlText w:val="%1.%2.%3."/>
      <w:lvlJc w:val="left"/>
      <w:pPr>
        <w:ind w:left="1224" w:hanging="504"/>
      </w:pPr>
      <w:rPr>
        <w:rFonts w:hint="default"/>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925541D"/>
    <w:multiLevelType w:val="hybridMultilevel"/>
    <w:tmpl w:val="11BE0318"/>
    <w:lvl w:ilvl="0" w:tplc="4CB076A8">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021D8C"/>
    <w:multiLevelType w:val="hybridMultilevel"/>
    <w:tmpl w:val="BAA28A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8A87EF8"/>
    <w:multiLevelType w:val="hybridMultilevel"/>
    <w:tmpl w:val="C8E239BE"/>
    <w:lvl w:ilvl="0" w:tplc="8C5AEA04">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33010C"/>
    <w:multiLevelType w:val="hybridMultilevel"/>
    <w:tmpl w:val="0306560C"/>
    <w:lvl w:ilvl="0" w:tplc="EDB6FAB4">
      <w:start w:val="1"/>
      <w:numFmt w:val="upperRoman"/>
      <w:pStyle w:val="Ttulo1"/>
      <w:lvlText w:val="%1."/>
      <w:lvlJc w:val="right"/>
      <w:pPr>
        <w:ind w:left="720" w:hanging="360"/>
      </w:pPr>
    </w:lvl>
    <w:lvl w:ilvl="1" w:tplc="7DB87956">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C487F13"/>
    <w:multiLevelType w:val="hybridMultilevel"/>
    <w:tmpl w:val="789A20E2"/>
    <w:lvl w:ilvl="0" w:tplc="8C5AEA04">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2E83B6A"/>
    <w:multiLevelType w:val="hybridMultilevel"/>
    <w:tmpl w:val="28188398"/>
    <w:lvl w:ilvl="0" w:tplc="8C5AEA04">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C21D8B"/>
    <w:multiLevelType w:val="hybridMultilevel"/>
    <w:tmpl w:val="26AAB682"/>
    <w:lvl w:ilvl="0" w:tplc="CF9E918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95646EB"/>
    <w:multiLevelType w:val="hybridMultilevel"/>
    <w:tmpl w:val="D7D80FDE"/>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06178D8"/>
    <w:multiLevelType w:val="hybridMultilevel"/>
    <w:tmpl w:val="9D9ABE1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7E26235"/>
    <w:multiLevelType w:val="multilevel"/>
    <w:tmpl w:val="A30EC408"/>
    <w:styleLink w:val="Numerado"/>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4D2A03AD"/>
    <w:multiLevelType w:val="hybridMultilevel"/>
    <w:tmpl w:val="48E635D0"/>
    <w:lvl w:ilvl="0" w:tplc="340A000F">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1A0236E"/>
    <w:multiLevelType w:val="hybridMultilevel"/>
    <w:tmpl w:val="052CDBCA"/>
    <w:lvl w:ilvl="0" w:tplc="94E0F630">
      <w:start w:val="1"/>
      <w:numFmt w:val="bullet"/>
      <w:lvlText w:val=""/>
      <w:lvlJc w:val="left"/>
      <w:pPr>
        <w:ind w:left="720" w:hanging="360"/>
      </w:pPr>
      <w:rPr>
        <w:rFonts w:ascii="Symbol" w:hAnsi="Symbol" w:hint="default"/>
        <w:color w:val="auto"/>
      </w:rPr>
    </w:lvl>
    <w:lvl w:ilvl="1" w:tplc="340A0003">
      <w:start w:val="1"/>
      <w:numFmt w:val="bullet"/>
      <w:lvlText w:val="o"/>
      <w:lvlJc w:val="left"/>
      <w:pPr>
        <w:ind w:left="1440" w:hanging="360"/>
      </w:pPr>
      <w:rPr>
        <w:rFonts w:ascii="Courier New" w:hAnsi="Courier New" w:cs="Courier New" w:hint="default"/>
      </w:rPr>
    </w:lvl>
    <w:lvl w:ilvl="2" w:tplc="9E6AD238">
      <w:start w:val="1"/>
      <w:numFmt w:val="bullet"/>
      <w:lvlText w:val="-"/>
      <w:lvlJc w:val="left"/>
      <w:pPr>
        <w:ind w:left="2160" w:hanging="360"/>
      </w:pPr>
      <w:rPr>
        <w:rFonts w:ascii="Calibri" w:eastAsia="Calibri" w:hAnsi="Calibri" w:cs="Calibri"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52AD0E12"/>
    <w:multiLevelType w:val="hybridMultilevel"/>
    <w:tmpl w:val="7FD6CC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8DE0C0F"/>
    <w:multiLevelType w:val="hybridMultilevel"/>
    <w:tmpl w:val="963C1A86"/>
    <w:lvl w:ilvl="0" w:tplc="8C5AEA04">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BD53E9C"/>
    <w:multiLevelType w:val="hybridMultilevel"/>
    <w:tmpl w:val="6EDEBD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64695E85"/>
    <w:multiLevelType w:val="hybridMultilevel"/>
    <w:tmpl w:val="A6E6361C"/>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7" w15:restartNumberingAfterBreak="0">
    <w:nsid w:val="65412C34"/>
    <w:multiLevelType w:val="hybridMultilevel"/>
    <w:tmpl w:val="F49CC240"/>
    <w:lvl w:ilvl="0" w:tplc="9E6AD238">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7390A81"/>
    <w:multiLevelType w:val="hybridMultilevel"/>
    <w:tmpl w:val="70421B22"/>
    <w:lvl w:ilvl="0" w:tplc="9E6AD238">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86C2058"/>
    <w:multiLevelType w:val="multilevel"/>
    <w:tmpl w:val="A30EC408"/>
    <w:numStyleLink w:val="Numerado"/>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9"/>
    <w:lvlOverride w:ilvl="0">
      <w:lvl w:ilvl="0">
        <w:numFmt w:val="decimal"/>
        <w:lvlText w:val=""/>
        <w:lvlJc w:val="left"/>
      </w:lvl>
    </w:lvlOverride>
  </w:num>
  <w:num w:numId="5">
    <w:abstractNumId w:val="16"/>
  </w:num>
  <w:num w:numId="6">
    <w:abstractNumId w:val="12"/>
  </w:num>
  <w:num w:numId="7">
    <w:abstractNumId w:val="15"/>
  </w:num>
  <w:num w:numId="8">
    <w:abstractNumId w:val="13"/>
  </w:num>
  <w:num w:numId="9">
    <w:abstractNumId w:val="7"/>
  </w:num>
  <w:num w:numId="10">
    <w:abstractNumId w:val="3"/>
  </w:num>
  <w:num w:numId="11">
    <w:abstractNumId w:val="5"/>
  </w:num>
  <w:num w:numId="12">
    <w:abstractNumId w:val="11"/>
  </w:num>
  <w:num w:numId="13">
    <w:abstractNumId w:val="14"/>
  </w:num>
  <w:num w:numId="14">
    <w:abstractNumId w:val="6"/>
  </w:num>
  <w:num w:numId="15">
    <w:abstractNumId w:val="2"/>
  </w:num>
  <w:num w:numId="16">
    <w:abstractNumId w:val="1"/>
  </w:num>
  <w:num w:numId="17">
    <w:abstractNumId w:val="1"/>
    <w:lvlOverride w:ilvl="0">
      <w:startOverride w:val="1"/>
    </w:lvlOverride>
  </w:num>
  <w:num w:numId="18">
    <w:abstractNumId w:val="18"/>
  </w:num>
  <w:num w:numId="19">
    <w:abstractNumId w:val="17"/>
  </w:num>
  <w:num w:numId="20">
    <w:abstractNumId w:val="9"/>
  </w:num>
  <w:num w:numId="21">
    <w:abstractNumId w:val="1"/>
    <w:lvlOverride w:ilvl="0">
      <w:startOverride w:val="1"/>
    </w:lvlOverride>
  </w:num>
  <w:num w:numId="22">
    <w:abstractNumId w:val="8"/>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9A"/>
    <w:rsid w:val="00026A72"/>
    <w:rsid w:val="00050C72"/>
    <w:rsid w:val="00051AAA"/>
    <w:rsid w:val="000645A1"/>
    <w:rsid w:val="00074854"/>
    <w:rsid w:val="00084605"/>
    <w:rsid w:val="000905BB"/>
    <w:rsid w:val="0009472E"/>
    <w:rsid w:val="000962F5"/>
    <w:rsid w:val="000A6F01"/>
    <w:rsid w:val="000B233B"/>
    <w:rsid w:val="000C0BCA"/>
    <w:rsid w:val="000E5284"/>
    <w:rsid w:val="000F3EBE"/>
    <w:rsid w:val="0012255F"/>
    <w:rsid w:val="001272A2"/>
    <w:rsid w:val="0013206E"/>
    <w:rsid w:val="0014052C"/>
    <w:rsid w:val="00140D0D"/>
    <w:rsid w:val="00141D81"/>
    <w:rsid w:val="00163607"/>
    <w:rsid w:val="00172DD9"/>
    <w:rsid w:val="0017633E"/>
    <w:rsid w:val="001769E6"/>
    <w:rsid w:val="00176CC8"/>
    <w:rsid w:val="00184700"/>
    <w:rsid w:val="00184B5E"/>
    <w:rsid w:val="001902CD"/>
    <w:rsid w:val="0019504D"/>
    <w:rsid w:val="001A688A"/>
    <w:rsid w:val="001B1E6F"/>
    <w:rsid w:val="001D70AD"/>
    <w:rsid w:val="001E1610"/>
    <w:rsid w:val="001F584A"/>
    <w:rsid w:val="0022141A"/>
    <w:rsid w:val="0025069A"/>
    <w:rsid w:val="0025484E"/>
    <w:rsid w:val="002628E3"/>
    <w:rsid w:val="00274B27"/>
    <w:rsid w:val="00290F0E"/>
    <w:rsid w:val="00296871"/>
    <w:rsid w:val="002A2C6A"/>
    <w:rsid w:val="002A32EB"/>
    <w:rsid w:val="002A41C5"/>
    <w:rsid w:val="002A733E"/>
    <w:rsid w:val="002C31DD"/>
    <w:rsid w:val="003033C7"/>
    <w:rsid w:val="003138A1"/>
    <w:rsid w:val="00320CD7"/>
    <w:rsid w:val="00321797"/>
    <w:rsid w:val="003509B4"/>
    <w:rsid w:val="0038023E"/>
    <w:rsid w:val="00381F53"/>
    <w:rsid w:val="003871BA"/>
    <w:rsid w:val="003879D0"/>
    <w:rsid w:val="003A4625"/>
    <w:rsid w:val="003A6141"/>
    <w:rsid w:val="003B0644"/>
    <w:rsid w:val="003B4B28"/>
    <w:rsid w:val="003B7B0B"/>
    <w:rsid w:val="003F5B6D"/>
    <w:rsid w:val="003F64BE"/>
    <w:rsid w:val="00410EE2"/>
    <w:rsid w:val="00431DF1"/>
    <w:rsid w:val="00452B7D"/>
    <w:rsid w:val="0045610F"/>
    <w:rsid w:val="0045745D"/>
    <w:rsid w:val="004622AC"/>
    <w:rsid w:val="00466265"/>
    <w:rsid w:val="0047059E"/>
    <w:rsid w:val="0047622C"/>
    <w:rsid w:val="00483D5E"/>
    <w:rsid w:val="00495188"/>
    <w:rsid w:val="00497098"/>
    <w:rsid w:val="004A09D0"/>
    <w:rsid w:val="004A72DD"/>
    <w:rsid w:val="004B1F19"/>
    <w:rsid w:val="004B42C3"/>
    <w:rsid w:val="004C29F7"/>
    <w:rsid w:val="004C60A7"/>
    <w:rsid w:val="004D6168"/>
    <w:rsid w:val="004E3223"/>
    <w:rsid w:val="005162E7"/>
    <w:rsid w:val="00530435"/>
    <w:rsid w:val="0055601C"/>
    <w:rsid w:val="005631CD"/>
    <w:rsid w:val="00573A56"/>
    <w:rsid w:val="00586067"/>
    <w:rsid w:val="00592ABD"/>
    <w:rsid w:val="005955E6"/>
    <w:rsid w:val="005970EE"/>
    <w:rsid w:val="005A2C03"/>
    <w:rsid w:val="005A32E8"/>
    <w:rsid w:val="005C2D6F"/>
    <w:rsid w:val="00614918"/>
    <w:rsid w:val="00622CCA"/>
    <w:rsid w:val="00642993"/>
    <w:rsid w:val="006663DE"/>
    <w:rsid w:val="0068432A"/>
    <w:rsid w:val="00697886"/>
    <w:rsid w:val="006B6CFA"/>
    <w:rsid w:val="006D72C0"/>
    <w:rsid w:val="006E293F"/>
    <w:rsid w:val="0071022D"/>
    <w:rsid w:val="0072209E"/>
    <w:rsid w:val="00735060"/>
    <w:rsid w:val="00736BC8"/>
    <w:rsid w:val="0075627B"/>
    <w:rsid w:val="00756F85"/>
    <w:rsid w:val="00762AF2"/>
    <w:rsid w:val="00787599"/>
    <w:rsid w:val="00793D13"/>
    <w:rsid w:val="00797B5E"/>
    <w:rsid w:val="007A52BB"/>
    <w:rsid w:val="007B02BF"/>
    <w:rsid w:val="007C1125"/>
    <w:rsid w:val="007C1281"/>
    <w:rsid w:val="007C5D73"/>
    <w:rsid w:val="007D23FD"/>
    <w:rsid w:val="007E605A"/>
    <w:rsid w:val="00806497"/>
    <w:rsid w:val="00834ADD"/>
    <w:rsid w:val="0084058D"/>
    <w:rsid w:val="00841762"/>
    <w:rsid w:val="00841C35"/>
    <w:rsid w:val="00856314"/>
    <w:rsid w:val="00886701"/>
    <w:rsid w:val="008A1AB6"/>
    <w:rsid w:val="008B6E93"/>
    <w:rsid w:val="008C0629"/>
    <w:rsid w:val="008C5E55"/>
    <w:rsid w:val="008C6405"/>
    <w:rsid w:val="008D10BC"/>
    <w:rsid w:val="008E3477"/>
    <w:rsid w:val="008F0AAE"/>
    <w:rsid w:val="00906723"/>
    <w:rsid w:val="009120B6"/>
    <w:rsid w:val="009162C3"/>
    <w:rsid w:val="0092501E"/>
    <w:rsid w:val="00925346"/>
    <w:rsid w:val="0092697C"/>
    <w:rsid w:val="00957EE1"/>
    <w:rsid w:val="00984B0D"/>
    <w:rsid w:val="00995AD8"/>
    <w:rsid w:val="009A7146"/>
    <w:rsid w:val="009C176E"/>
    <w:rsid w:val="009C47C0"/>
    <w:rsid w:val="009C7A93"/>
    <w:rsid w:val="009D749D"/>
    <w:rsid w:val="00A06382"/>
    <w:rsid w:val="00A0680C"/>
    <w:rsid w:val="00A12D24"/>
    <w:rsid w:val="00A223D7"/>
    <w:rsid w:val="00A33026"/>
    <w:rsid w:val="00A54ED5"/>
    <w:rsid w:val="00A575C3"/>
    <w:rsid w:val="00A61112"/>
    <w:rsid w:val="00A7441F"/>
    <w:rsid w:val="00A779BA"/>
    <w:rsid w:val="00AC0052"/>
    <w:rsid w:val="00AC5191"/>
    <w:rsid w:val="00AD6026"/>
    <w:rsid w:val="00AE4CA8"/>
    <w:rsid w:val="00AE5012"/>
    <w:rsid w:val="00B00C43"/>
    <w:rsid w:val="00B056B8"/>
    <w:rsid w:val="00B31C1A"/>
    <w:rsid w:val="00B47657"/>
    <w:rsid w:val="00B50425"/>
    <w:rsid w:val="00B608CF"/>
    <w:rsid w:val="00B66E40"/>
    <w:rsid w:val="00B6745F"/>
    <w:rsid w:val="00B72842"/>
    <w:rsid w:val="00B7417E"/>
    <w:rsid w:val="00B76DDF"/>
    <w:rsid w:val="00B777E0"/>
    <w:rsid w:val="00B85A8D"/>
    <w:rsid w:val="00B941CE"/>
    <w:rsid w:val="00B96FC2"/>
    <w:rsid w:val="00BA14CF"/>
    <w:rsid w:val="00BB7B68"/>
    <w:rsid w:val="00BC0A0E"/>
    <w:rsid w:val="00BF3FC3"/>
    <w:rsid w:val="00C10582"/>
    <w:rsid w:val="00C11752"/>
    <w:rsid w:val="00C16401"/>
    <w:rsid w:val="00C410AC"/>
    <w:rsid w:val="00C44680"/>
    <w:rsid w:val="00C55541"/>
    <w:rsid w:val="00C702AD"/>
    <w:rsid w:val="00C80317"/>
    <w:rsid w:val="00C80B61"/>
    <w:rsid w:val="00CA372B"/>
    <w:rsid w:val="00CD557A"/>
    <w:rsid w:val="00CF72A5"/>
    <w:rsid w:val="00D05B4F"/>
    <w:rsid w:val="00D213E3"/>
    <w:rsid w:val="00D354DF"/>
    <w:rsid w:val="00D53E4C"/>
    <w:rsid w:val="00D741BA"/>
    <w:rsid w:val="00DB6788"/>
    <w:rsid w:val="00DC534F"/>
    <w:rsid w:val="00DC690B"/>
    <w:rsid w:val="00DD0B42"/>
    <w:rsid w:val="00DD20D9"/>
    <w:rsid w:val="00DE540A"/>
    <w:rsid w:val="00E01C52"/>
    <w:rsid w:val="00E17E54"/>
    <w:rsid w:val="00E3075B"/>
    <w:rsid w:val="00E45FFD"/>
    <w:rsid w:val="00E47E46"/>
    <w:rsid w:val="00E53F83"/>
    <w:rsid w:val="00E6545E"/>
    <w:rsid w:val="00E70F13"/>
    <w:rsid w:val="00E827CF"/>
    <w:rsid w:val="00EC39D4"/>
    <w:rsid w:val="00ED07A3"/>
    <w:rsid w:val="00EF69E9"/>
    <w:rsid w:val="00F06F26"/>
    <w:rsid w:val="00F17BAA"/>
    <w:rsid w:val="00F37835"/>
    <w:rsid w:val="00F67AD4"/>
    <w:rsid w:val="00F70E5E"/>
    <w:rsid w:val="00F76BD9"/>
    <w:rsid w:val="00F8040D"/>
    <w:rsid w:val="00F924D3"/>
    <w:rsid w:val="00FA70D9"/>
    <w:rsid w:val="00FC2F03"/>
    <w:rsid w:val="00FD468E"/>
    <w:rsid w:val="00FE00D5"/>
    <w:rsid w:val="00FF5B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3BCB"/>
  <w15:chartTrackingRefBased/>
  <w15:docId w15:val="{606A9D69-5932-4E54-83A8-ED0DE2C5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1BA"/>
    <w:pPr>
      <w:spacing w:after="120" w:line="276" w:lineRule="auto"/>
      <w:jc w:val="both"/>
    </w:pPr>
    <w:rPr>
      <w:rFonts w:ascii="Calibri" w:eastAsia="Calibri" w:hAnsi="Calibri" w:cs="Calibri"/>
      <w:lang w:eastAsia="es-ES_tradnl"/>
    </w:rPr>
  </w:style>
  <w:style w:type="paragraph" w:styleId="Ttulo1">
    <w:name w:val="heading 1"/>
    <w:basedOn w:val="Normal"/>
    <w:next w:val="Normal"/>
    <w:link w:val="Ttulo1Car"/>
    <w:uiPriority w:val="9"/>
    <w:qFormat/>
    <w:rsid w:val="00AD6026"/>
    <w:pPr>
      <w:keepNext/>
      <w:keepLines/>
      <w:numPr>
        <w:numId w:val="3"/>
      </w:numPr>
      <w:ind w:left="357" w:hanging="357"/>
      <w:outlineLvl w:val="0"/>
    </w:pPr>
    <w:rPr>
      <w:rFonts w:asciiTheme="majorHAnsi" w:eastAsiaTheme="majorEastAsia" w:hAnsiTheme="majorHAnsi" w:cstheme="majorBidi"/>
      <w:b/>
      <w:color w:val="2F5496" w:themeColor="accent1" w:themeShade="BF"/>
      <w:sz w:val="32"/>
      <w:szCs w:val="32"/>
    </w:rPr>
  </w:style>
  <w:style w:type="paragraph" w:styleId="Ttulo2">
    <w:name w:val="heading 2"/>
    <w:basedOn w:val="Normal"/>
    <w:next w:val="Normal"/>
    <w:link w:val="Ttulo2Car"/>
    <w:uiPriority w:val="9"/>
    <w:unhideWhenUsed/>
    <w:qFormat/>
    <w:rsid w:val="00AD6026"/>
    <w:pPr>
      <w:keepNext/>
      <w:keepLines/>
      <w:numPr>
        <w:numId w:val="23"/>
      </w:numPr>
      <w:outlineLvl w:val="1"/>
    </w:pPr>
    <w:rPr>
      <w:rFonts w:asciiTheme="majorHAnsi" w:eastAsiaTheme="majorEastAsia" w:hAnsiTheme="majorHAnsi" w:cstheme="majorBidi"/>
      <w:b/>
      <w:color w:val="2F5496" w:themeColor="accent1" w:themeShade="BF"/>
      <w:sz w:val="26"/>
      <w:szCs w:val="26"/>
    </w:rPr>
  </w:style>
  <w:style w:type="paragraph" w:styleId="Ttulo3">
    <w:name w:val="heading 3"/>
    <w:basedOn w:val="Normal"/>
    <w:next w:val="Normal"/>
    <w:link w:val="Ttulo3Car"/>
    <w:uiPriority w:val="9"/>
    <w:unhideWhenUsed/>
    <w:qFormat/>
    <w:rsid w:val="00530435"/>
    <w:pPr>
      <w:keepNext/>
      <w:keepLines/>
      <w:numPr>
        <w:ilvl w:val="1"/>
        <w:numId w:val="23"/>
      </w:numPr>
      <w:ind w:left="432"/>
      <w:outlineLvl w:val="2"/>
    </w:pPr>
    <w:rPr>
      <w:rFonts w:asciiTheme="majorHAnsi" w:eastAsiaTheme="majorEastAsia" w:hAnsiTheme="majorHAnsi" w:cstheme="majorBidi"/>
      <w:b/>
      <w:color w:val="2F5496" w:themeColor="accent1" w:themeShade="BF"/>
      <w:sz w:val="26"/>
      <w:szCs w:val="24"/>
    </w:rPr>
  </w:style>
  <w:style w:type="paragraph" w:styleId="Ttulo4">
    <w:name w:val="heading 4"/>
    <w:basedOn w:val="Normal"/>
    <w:next w:val="Normal"/>
    <w:link w:val="Ttulo4Car"/>
    <w:uiPriority w:val="9"/>
    <w:unhideWhenUsed/>
    <w:qFormat/>
    <w:rsid w:val="00D354DF"/>
    <w:pPr>
      <w:keepNext/>
      <w:keepLines/>
      <w:numPr>
        <w:ilvl w:val="2"/>
        <w:numId w:val="23"/>
      </w:numPr>
      <w:ind w:left="504"/>
      <w:outlineLvl w:val="3"/>
    </w:pPr>
    <w:rPr>
      <w:rFonts w:asciiTheme="majorHAnsi" w:eastAsiaTheme="majorEastAsia" w:hAnsiTheme="majorHAnsi" w:cstheme="majorBidi"/>
      <w:b/>
      <w:iCs/>
      <w:color w:val="2F5496" w:themeColor="accent1" w:themeShade="BF"/>
      <w:sz w:val="24"/>
    </w:rPr>
  </w:style>
  <w:style w:type="paragraph" w:styleId="Ttulo5">
    <w:name w:val="heading 5"/>
    <w:basedOn w:val="Normal"/>
    <w:next w:val="Normal"/>
    <w:link w:val="Ttulo5Car"/>
    <w:uiPriority w:val="9"/>
    <w:unhideWhenUsed/>
    <w:qFormat/>
    <w:rsid w:val="00EC39D4"/>
    <w:pPr>
      <w:keepNext/>
      <w:keepLines/>
      <w:numPr>
        <w:ilvl w:val="3"/>
        <w:numId w:val="23"/>
      </w:numPr>
      <w:outlineLvl w:val="4"/>
    </w:pPr>
    <w:rPr>
      <w:rFonts w:asciiTheme="majorHAnsi" w:eastAsiaTheme="majorEastAsia" w:hAnsiTheme="majorHAnsi" w:cstheme="majorBidi"/>
      <w:b/>
      <w:color w:val="2F5496" w:themeColor="accent1" w:themeShade="BF"/>
    </w:rPr>
  </w:style>
  <w:style w:type="paragraph" w:styleId="Ttulo6">
    <w:name w:val="heading 6"/>
    <w:basedOn w:val="Normal"/>
    <w:next w:val="Normal"/>
    <w:link w:val="Ttulo6Car"/>
    <w:uiPriority w:val="9"/>
    <w:unhideWhenUsed/>
    <w:qFormat/>
    <w:rsid w:val="006D72C0"/>
    <w:pPr>
      <w:keepNext/>
      <w:keepLines/>
      <w:ind w:left="708"/>
      <w:outlineLvl w:val="5"/>
    </w:pPr>
    <w:rPr>
      <w:rFonts w:asciiTheme="majorHAnsi" w:eastAsiaTheme="majorEastAsia" w:hAnsiTheme="majorHAnsi" w:cstheme="majorBidi"/>
      <w:b/>
      <w:color w:val="1F3763" w:themeColor="accent1" w:themeShade="7F"/>
    </w:rPr>
  </w:style>
  <w:style w:type="paragraph" w:styleId="Ttulo7">
    <w:name w:val="heading 7"/>
    <w:aliases w:val="Título 01"/>
    <w:basedOn w:val="Normal"/>
    <w:next w:val="Normal"/>
    <w:link w:val="Ttulo7Car"/>
    <w:uiPriority w:val="9"/>
    <w:unhideWhenUsed/>
    <w:rsid w:val="0025069A"/>
    <w:pPr>
      <w:keepNext/>
      <w:keepLines/>
      <w:spacing w:before="40" w:after="0"/>
      <w:jc w:val="left"/>
      <w:outlineLvl w:val="6"/>
    </w:pPr>
    <w:rPr>
      <w:rFonts w:eastAsiaTheme="majorEastAsia" w:cstheme="majorBidi"/>
      <w:iCs/>
      <w:color w:val="4472C4" w:themeColor="accent1"/>
      <w:sz w:val="28"/>
    </w:rPr>
  </w:style>
  <w:style w:type="paragraph" w:styleId="Ttulo8">
    <w:name w:val="heading 8"/>
    <w:basedOn w:val="Normal"/>
    <w:next w:val="Normal"/>
    <w:link w:val="Ttulo8Car"/>
    <w:uiPriority w:val="9"/>
    <w:unhideWhenUsed/>
    <w:qFormat/>
    <w:rsid w:val="000962F5"/>
    <w:pPr>
      <w:keepNext/>
      <w:keepLines/>
      <w:outlineLvl w:val="7"/>
    </w:pPr>
    <w:rPr>
      <w:rFonts w:eastAsiaTheme="majorEastAsia" w:cstheme="majorBidi"/>
      <w:color w:val="2F5496" w:themeColor="accent1" w:themeShade="BF"/>
      <w:szCs w:val="21"/>
    </w:rPr>
  </w:style>
  <w:style w:type="paragraph" w:styleId="Ttulo9">
    <w:name w:val="heading 9"/>
    <w:basedOn w:val="Normal"/>
    <w:next w:val="Normal"/>
    <w:link w:val="Ttulo9Car"/>
    <w:uiPriority w:val="9"/>
    <w:unhideWhenUsed/>
    <w:qFormat/>
    <w:rsid w:val="005C2D6F"/>
    <w:pPr>
      <w:keepNext/>
      <w:keepLines/>
      <w:outlineLvl w:val="8"/>
    </w:pPr>
    <w:rPr>
      <w:rFonts w:asciiTheme="majorHAnsi" w:eastAsiaTheme="majorEastAsia" w:hAnsiTheme="majorHAnsi" w:cstheme="majorBidi"/>
      <w:i/>
      <w:iCs/>
      <w:color w:val="2F5496" w:themeColor="accent1" w:themeShade="BF"/>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06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69A"/>
  </w:style>
  <w:style w:type="paragraph" w:styleId="Piedepgina">
    <w:name w:val="footer"/>
    <w:basedOn w:val="Normal"/>
    <w:link w:val="PiedepginaCar"/>
    <w:uiPriority w:val="99"/>
    <w:unhideWhenUsed/>
    <w:rsid w:val="002506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69A"/>
  </w:style>
  <w:style w:type="character" w:customStyle="1" w:styleId="Ttulo7Car">
    <w:name w:val="Título 7 Car"/>
    <w:aliases w:val="Título 01 Car"/>
    <w:basedOn w:val="Fuentedeprrafopredeter"/>
    <w:link w:val="Ttulo7"/>
    <w:uiPriority w:val="9"/>
    <w:rsid w:val="0025069A"/>
    <w:rPr>
      <w:rFonts w:ascii="Calibri" w:eastAsiaTheme="majorEastAsia" w:hAnsi="Calibri" w:cstheme="majorBidi"/>
      <w:iCs/>
      <w:color w:val="4472C4" w:themeColor="accent1"/>
      <w:sz w:val="28"/>
      <w:lang w:eastAsia="es-ES_tradnl"/>
    </w:rPr>
  </w:style>
  <w:style w:type="paragraph" w:styleId="Ttulo">
    <w:name w:val="Title"/>
    <w:basedOn w:val="Normal"/>
    <w:next w:val="Normal"/>
    <w:link w:val="TtuloCar"/>
    <w:uiPriority w:val="10"/>
    <w:qFormat/>
    <w:rsid w:val="00FF5B4C"/>
    <w:pPr>
      <w:keepNext/>
      <w:keepLines/>
      <w:jc w:val="center"/>
    </w:pPr>
    <w:rPr>
      <w:b/>
      <w:sz w:val="44"/>
      <w:szCs w:val="72"/>
    </w:rPr>
  </w:style>
  <w:style w:type="character" w:customStyle="1" w:styleId="TtuloCar">
    <w:name w:val="Título Car"/>
    <w:basedOn w:val="Fuentedeprrafopredeter"/>
    <w:link w:val="Ttulo"/>
    <w:uiPriority w:val="10"/>
    <w:rsid w:val="00FF5B4C"/>
    <w:rPr>
      <w:rFonts w:ascii="Calibri" w:eastAsia="Calibri" w:hAnsi="Calibri" w:cs="Calibri"/>
      <w:b/>
      <w:sz w:val="44"/>
      <w:szCs w:val="72"/>
      <w:lang w:eastAsia="es-ES_tradnl"/>
    </w:rPr>
  </w:style>
  <w:style w:type="character" w:customStyle="1" w:styleId="Ttulo1Car">
    <w:name w:val="Título 1 Car"/>
    <w:basedOn w:val="Fuentedeprrafopredeter"/>
    <w:link w:val="Ttulo1"/>
    <w:uiPriority w:val="9"/>
    <w:rsid w:val="00AD6026"/>
    <w:rPr>
      <w:rFonts w:asciiTheme="majorHAnsi" w:eastAsiaTheme="majorEastAsia" w:hAnsiTheme="majorHAnsi" w:cstheme="majorBidi"/>
      <w:b/>
      <w:color w:val="2F5496" w:themeColor="accent1" w:themeShade="BF"/>
      <w:sz w:val="32"/>
      <w:szCs w:val="32"/>
      <w:lang w:eastAsia="es-ES_tradnl"/>
    </w:rPr>
  </w:style>
  <w:style w:type="character" w:customStyle="1" w:styleId="Ttulo2Car">
    <w:name w:val="Título 2 Car"/>
    <w:basedOn w:val="Fuentedeprrafopredeter"/>
    <w:link w:val="Ttulo2"/>
    <w:uiPriority w:val="9"/>
    <w:rsid w:val="00AD6026"/>
    <w:rPr>
      <w:rFonts w:asciiTheme="majorHAnsi" w:eastAsiaTheme="majorEastAsia" w:hAnsiTheme="majorHAnsi" w:cstheme="majorBidi"/>
      <w:b/>
      <w:color w:val="2F5496" w:themeColor="accent1" w:themeShade="BF"/>
      <w:sz w:val="26"/>
      <w:szCs w:val="26"/>
      <w:lang w:eastAsia="es-ES_tradnl"/>
    </w:rPr>
  </w:style>
  <w:style w:type="character" w:customStyle="1" w:styleId="Ttulo3Car">
    <w:name w:val="Título 3 Car"/>
    <w:basedOn w:val="Fuentedeprrafopredeter"/>
    <w:link w:val="Ttulo3"/>
    <w:uiPriority w:val="9"/>
    <w:rsid w:val="00530435"/>
    <w:rPr>
      <w:rFonts w:asciiTheme="majorHAnsi" w:eastAsiaTheme="majorEastAsia" w:hAnsiTheme="majorHAnsi" w:cstheme="majorBidi"/>
      <w:b/>
      <w:color w:val="2F5496" w:themeColor="accent1" w:themeShade="BF"/>
      <w:sz w:val="26"/>
      <w:szCs w:val="24"/>
      <w:lang w:eastAsia="es-ES_tradnl"/>
    </w:rPr>
  </w:style>
  <w:style w:type="numbering" w:customStyle="1" w:styleId="Numerado">
    <w:name w:val="Numerado"/>
    <w:uiPriority w:val="99"/>
    <w:rsid w:val="00D741BA"/>
    <w:pPr>
      <w:numPr>
        <w:numId w:val="1"/>
      </w:numPr>
    </w:pPr>
  </w:style>
  <w:style w:type="character" w:styleId="Hipervnculo">
    <w:name w:val="Hyperlink"/>
    <w:basedOn w:val="Fuentedeprrafopredeter"/>
    <w:uiPriority w:val="99"/>
    <w:unhideWhenUsed/>
    <w:rsid w:val="002A32EB"/>
    <w:rPr>
      <w:color w:val="0563C1" w:themeColor="hyperlink"/>
      <w:u w:val="single"/>
    </w:rPr>
  </w:style>
  <w:style w:type="character" w:customStyle="1" w:styleId="Ttulo4Car">
    <w:name w:val="Título 4 Car"/>
    <w:basedOn w:val="Fuentedeprrafopredeter"/>
    <w:link w:val="Ttulo4"/>
    <w:uiPriority w:val="9"/>
    <w:rsid w:val="00D354DF"/>
    <w:rPr>
      <w:rFonts w:asciiTheme="majorHAnsi" w:eastAsiaTheme="majorEastAsia" w:hAnsiTheme="majorHAnsi" w:cstheme="majorBidi"/>
      <w:b/>
      <w:iCs/>
      <w:color w:val="2F5496" w:themeColor="accent1" w:themeShade="BF"/>
      <w:sz w:val="24"/>
      <w:lang w:eastAsia="es-ES_tradnl"/>
    </w:rPr>
  </w:style>
  <w:style w:type="character" w:styleId="Mencinsinresolver">
    <w:name w:val="Unresolved Mention"/>
    <w:basedOn w:val="Fuentedeprrafopredeter"/>
    <w:uiPriority w:val="99"/>
    <w:semiHidden/>
    <w:unhideWhenUsed/>
    <w:rsid w:val="002A32EB"/>
    <w:rPr>
      <w:color w:val="605E5C"/>
      <w:shd w:val="clear" w:color="auto" w:fill="E1DFDD"/>
    </w:rPr>
  </w:style>
  <w:style w:type="paragraph" w:styleId="Prrafodelista">
    <w:name w:val="List Paragraph"/>
    <w:basedOn w:val="Normal"/>
    <w:uiPriority w:val="34"/>
    <w:qFormat/>
    <w:rsid w:val="00D741BA"/>
    <w:pPr>
      <w:ind w:left="720"/>
      <w:contextualSpacing/>
    </w:pPr>
  </w:style>
  <w:style w:type="character" w:styleId="Refdecomentario">
    <w:name w:val="annotation reference"/>
    <w:basedOn w:val="Fuentedeprrafopredeter"/>
    <w:uiPriority w:val="99"/>
    <w:semiHidden/>
    <w:unhideWhenUsed/>
    <w:rsid w:val="00163607"/>
    <w:rPr>
      <w:sz w:val="16"/>
      <w:szCs w:val="16"/>
    </w:rPr>
  </w:style>
  <w:style w:type="paragraph" w:styleId="Textocomentario">
    <w:name w:val="annotation text"/>
    <w:basedOn w:val="Normal"/>
    <w:link w:val="TextocomentarioCar"/>
    <w:uiPriority w:val="99"/>
    <w:semiHidden/>
    <w:unhideWhenUsed/>
    <w:rsid w:val="001636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3607"/>
    <w:rPr>
      <w:rFonts w:ascii="Calibri" w:eastAsia="Calibri" w:hAnsi="Calibri" w:cs="Calibri"/>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63607"/>
    <w:rPr>
      <w:b/>
      <w:bCs/>
    </w:rPr>
  </w:style>
  <w:style w:type="character" w:customStyle="1" w:styleId="AsuntodelcomentarioCar">
    <w:name w:val="Asunto del comentario Car"/>
    <w:basedOn w:val="TextocomentarioCar"/>
    <w:link w:val="Asuntodelcomentario"/>
    <w:uiPriority w:val="99"/>
    <w:semiHidden/>
    <w:rsid w:val="00163607"/>
    <w:rPr>
      <w:rFonts w:ascii="Calibri" w:eastAsia="Calibri" w:hAnsi="Calibri" w:cs="Calibri"/>
      <w:b/>
      <w:bCs/>
      <w:sz w:val="20"/>
      <w:szCs w:val="20"/>
      <w:lang w:eastAsia="es-ES_tradnl"/>
    </w:rPr>
  </w:style>
  <w:style w:type="paragraph" w:styleId="Textonotapie">
    <w:name w:val="footnote text"/>
    <w:basedOn w:val="Normal"/>
    <w:link w:val="TextonotapieCar"/>
    <w:uiPriority w:val="99"/>
    <w:semiHidden/>
    <w:unhideWhenUsed/>
    <w:rsid w:val="00DD20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20D9"/>
    <w:rPr>
      <w:rFonts w:ascii="Calibri" w:eastAsia="Calibri" w:hAnsi="Calibri" w:cs="Calibri"/>
      <w:sz w:val="20"/>
      <w:szCs w:val="20"/>
      <w:lang w:eastAsia="es-ES_tradnl"/>
    </w:rPr>
  </w:style>
  <w:style w:type="character" w:styleId="Refdenotaalpie">
    <w:name w:val="footnote reference"/>
    <w:basedOn w:val="Fuentedeprrafopredeter"/>
    <w:uiPriority w:val="99"/>
    <w:semiHidden/>
    <w:unhideWhenUsed/>
    <w:rsid w:val="00DD20D9"/>
    <w:rPr>
      <w:vertAlign w:val="superscript"/>
    </w:rPr>
  </w:style>
  <w:style w:type="character" w:customStyle="1" w:styleId="Ttulo8Car">
    <w:name w:val="Título 8 Car"/>
    <w:basedOn w:val="Fuentedeprrafopredeter"/>
    <w:link w:val="Ttulo8"/>
    <w:uiPriority w:val="9"/>
    <w:rsid w:val="000962F5"/>
    <w:rPr>
      <w:rFonts w:ascii="Calibri" w:eastAsiaTheme="majorEastAsia" w:hAnsi="Calibri" w:cstheme="majorBidi"/>
      <w:color w:val="2F5496" w:themeColor="accent1" w:themeShade="BF"/>
      <w:szCs w:val="21"/>
      <w:lang w:eastAsia="es-ES_tradnl"/>
    </w:rPr>
  </w:style>
  <w:style w:type="character" w:customStyle="1" w:styleId="Ttulo5Car">
    <w:name w:val="Título 5 Car"/>
    <w:basedOn w:val="Fuentedeprrafopredeter"/>
    <w:link w:val="Ttulo5"/>
    <w:uiPriority w:val="9"/>
    <w:rsid w:val="00EC39D4"/>
    <w:rPr>
      <w:rFonts w:asciiTheme="majorHAnsi" w:eastAsiaTheme="majorEastAsia" w:hAnsiTheme="majorHAnsi" w:cstheme="majorBidi"/>
      <w:b/>
      <w:color w:val="2F5496" w:themeColor="accent1" w:themeShade="BF"/>
      <w:lang w:eastAsia="es-ES_tradnl"/>
    </w:rPr>
  </w:style>
  <w:style w:type="character" w:customStyle="1" w:styleId="Ttulo6Car">
    <w:name w:val="Título 6 Car"/>
    <w:basedOn w:val="Fuentedeprrafopredeter"/>
    <w:link w:val="Ttulo6"/>
    <w:uiPriority w:val="9"/>
    <w:rsid w:val="006D72C0"/>
    <w:rPr>
      <w:rFonts w:asciiTheme="majorHAnsi" w:eastAsiaTheme="majorEastAsia" w:hAnsiTheme="majorHAnsi" w:cstheme="majorBidi"/>
      <w:b/>
      <w:color w:val="1F3763" w:themeColor="accent1" w:themeShade="7F"/>
      <w:lang w:eastAsia="es-ES_tradnl"/>
    </w:rPr>
  </w:style>
  <w:style w:type="table" w:styleId="Tablaconcuadrcula">
    <w:name w:val="Table Grid"/>
    <w:basedOn w:val="Tablanormal"/>
    <w:uiPriority w:val="59"/>
    <w:rsid w:val="007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886701"/>
  </w:style>
  <w:style w:type="table" w:customStyle="1" w:styleId="TableNormal">
    <w:name w:val="Table Normal"/>
    <w:uiPriority w:val="2"/>
    <w:semiHidden/>
    <w:unhideWhenUsed/>
    <w:qFormat/>
    <w:rsid w:val="00DC534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C534F"/>
    <w:pPr>
      <w:widowControl w:val="0"/>
      <w:autoSpaceDE w:val="0"/>
      <w:autoSpaceDN w:val="0"/>
      <w:spacing w:after="0" w:line="240" w:lineRule="auto"/>
      <w:jc w:val="left"/>
    </w:pPr>
    <w:rPr>
      <w:rFonts w:ascii="Arial Black" w:eastAsia="Arial Black" w:hAnsi="Arial Black" w:cs="Arial Black"/>
      <w:lang w:val="es-ES" w:eastAsia="es-ES" w:bidi="es-ES"/>
    </w:rPr>
  </w:style>
  <w:style w:type="table" w:styleId="Tabladelista3-nfasis5">
    <w:name w:val="List Table 3 Accent 5"/>
    <w:basedOn w:val="Tablanormal"/>
    <w:uiPriority w:val="48"/>
    <w:rsid w:val="001769E6"/>
    <w:pPr>
      <w:spacing w:after="0" w:line="240" w:lineRule="auto"/>
      <w:jc w:val="center"/>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cPr>
      <w:vAlign w:val="center"/>
    </w:tc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ladelista3-nfasis1">
    <w:name w:val="List Table 3 Accent 1"/>
    <w:basedOn w:val="Tablanormal"/>
    <w:uiPriority w:val="48"/>
    <w:rsid w:val="007C5D73"/>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concuadrcula5oscura-nfasis1">
    <w:name w:val="Grid Table 5 Dark Accent 1"/>
    <w:basedOn w:val="Tablanormal"/>
    <w:uiPriority w:val="50"/>
    <w:rsid w:val="007C5D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concuadrcula4-nfasis1">
    <w:name w:val="Grid Table 4 Accent 1"/>
    <w:basedOn w:val="Tablanormal"/>
    <w:uiPriority w:val="49"/>
    <w:rsid w:val="007C5D7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vAlign w:val="center"/>
    </w:tc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9Car">
    <w:name w:val="Título 9 Car"/>
    <w:basedOn w:val="Fuentedeprrafopredeter"/>
    <w:link w:val="Ttulo9"/>
    <w:uiPriority w:val="9"/>
    <w:rsid w:val="005C2D6F"/>
    <w:rPr>
      <w:rFonts w:asciiTheme="majorHAnsi" w:eastAsiaTheme="majorEastAsia" w:hAnsiTheme="majorHAnsi" w:cstheme="majorBidi"/>
      <w:i/>
      <w:iCs/>
      <w:color w:val="2F5496" w:themeColor="accent1" w:themeShade="BF"/>
      <w:sz w:val="21"/>
      <w:szCs w:val="21"/>
      <w:lang w:eastAsia="es-ES_tradnl"/>
    </w:rPr>
  </w:style>
  <w:style w:type="paragraph" w:styleId="Subttulo">
    <w:name w:val="Subtitle"/>
    <w:basedOn w:val="Normal"/>
    <w:next w:val="Normal"/>
    <w:link w:val="SubttuloCar"/>
    <w:uiPriority w:val="11"/>
    <w:qFormat/>
    <w:rsid w:val="00C55541"/>
    <w:pPr>
      <w:numPr>
        <w:ilvl w:val="1"/>
      </w:numPr>
      <w:spacing w:after="160"/>
      <w:jc w:val="center"/>
    </w:pPr>
    <w:rPr>
      <w:rFonts w:eastAsiaTheme="minorEastAsia" w:cstheme="minorBidi"/>
      <w:b/>
      <w:spacing w:val="15"/>
      <w:sz w:val="28"/>
    </w:rPr>
  </w:style>
  <w:style w:type="character" w:customStyle="1" w:styleId="SubttuloCar">
    <w:name w:val="Subtítulo Car"/>
    <w:basedOn w:val="Fuentedeprrafopredeter"/>
    <w:link w:val="Subttulo"/>
    <w:uiPriority w:val="11"/>
    <w:rsid w:val="00C55541"/>
    <w:rPr>
      <w:rFonts w:ascii="Calibri" w:eastAsiaTheme="minorEastAsia" w:hAnsi="Calibri"/>
      <w:b/>
      <w:spacing w:val="15"/>
      <w:sz w:val="28"/>
      <w:lang w:eastAsia="es-ES_tradnl"/>
    </w:rPr>
  </w:style>
  <w:style w:type="character" w:styleId="nfasissutil">
    <w:name w:val="Subtle Emphasis"/>
    <w:basedOn w:val="Fuentedeprrafopredeter"/>
    <w:uiPriority w:val="19"/>
    <w:qFormat/>
    <w:rsid w:val="00C55541"/>
    <w:rPr>
      <w:i/>
      <w:iCs/>
      <w:color w:val="404040" w:themeColor="text1" w:themeTint="BF"/>
    </w:rPr>
  </w:style>
  <w:style w:type="paragraph" w:styleId="TtuloTDC">
    <w:name w:val="TOC Heading"/>
    <w:basedOn w:val="Ttulo1"/>
    <w:next w:val="Normal"/>
    <w:uiPriority w:val="39"/>
    <w:unhideWhenUsed/>
    <w:qFormat/>
    <w:rsid w:val="00C55541"/>
    <w:pPr>
      <w:numPr>
        <w:numId w:val="0"/>
      </w:numPr>
      <w:spacing w:before="240" w:after="0" w:line="259" w:lineRule="auto"/>
      <w:jc w:val="left"/>
      <w:outlineLvl w:val="9"/>
    </w:pPr>
    <w:rPr>
      <w:b w:val="0"/>
      <w:lang w:eastAsia="es-CL"/>
    </w:rPr>
  </w:style>
  <w:style w:type="paragraph" w:styleId="TDC1">
    <w:name w:val="toc 1"/>
    <w:basedOn w:val="Normal"/>
    <w:next w:val="Normal"/>
    <w:autoRedefine/>
    <w:uiPriority w:val="39"/>
    <w:unhideWhenUsed/>
    <w:rsid w:val="00C55541"/>
    <w:pPr>
      <w:spacing w:after="100"/>
    </w:pPr>
  </w:style>
  <w:style w:type="paragraph" w:styleId="TDC2">
    <w:name w:val="toc 2"/>
    <w:basedOn w:val="Normal"/>
    <w:next w:val="Normal"/>
    <w:autoRedefine/>
    <w:uiPriority w:val="39"/>
    <w:unhideWhenUsed/>
    <w:rsid w:val="00C55541"/>
    <w:pPr>
      <w:spacing w:after="100"/>
      <w:ind w:left="220"/>
    </w:pPr>
  </w:style>
  <w:style w:type="paragraph" w:styleId="TDC3">
    <w:name w:val="toc 3"/>
    <w:basedOn w:val="Normal"/>
    <w:next w:val="Normal"/>
    <w:autoRedefine/>
    <w:uiPriority w:val="39"/>
    <w:unhideWhenUsed/>
    <w:rsid w:val="00C55541"/>
    <w:pPr>
      <w:spacing w:after="100"/>
      <w:ind w:left="440"/>
    </w:pPr>
  </w:style>
  <w:style w:type="paragraph" w:customStyle="1" w:styleId="Ttulotablaseimgenes">
    <w:name w:val="Título tablas e imágenes"/>
    <w:basedOn w:val="Normal"/>
    <w:link w:val="TtulotablaseimgenesCar"/>
    <w:qFormat/>
    <w:rsid w:val="003B7B0B"/>
    <w:pPr>
      <w:spacing w:after="0"/>
      <w:jc w:val="center"/>
    </w:pPr>
    <w:rPr>
      <w:b/>
      <w:lang w:val="es-ES" w:eastAsia="en-US"/>
    </w:rPr>
  </w:style>
  <w:style w:type="character" w:styleId="Hipervnculovisitado">
    <w:name w:val="FollowedHyperlink"/>
    <w:basedOn w:val="Fuentedeprrafopredeter"/>
    <w:uiPriority w:val="99"/>
    <w:semiHidden/>
    <w:unhideWhenUsed/>
    <w:rsid w:val="003B7B0B"/>
    <w:rPr>
      <w:color w:val="954F72" w:themeColor="followedHyperlink"/>
      <w:u w:val="single"/>
    </w:rPr>
  </w:style>
  <w:style w:type="character" w:customStyle="1" w:styleId="TtulotablaseimgenesCar">
    <w:name w:val="Título tablas e imágenes Car"/>
    <w:basedOn w:val="Fuentedeprrafopredeter"/>
    <w:link w:val="Ttulotablaseimgenes"/>
    <w:rsid w:val="003B7B0B"/>
    <w:rPr>
      <w:rFonts w:ascii="Calibri" w:eastAsia="Calibri" w:hAnsi="Calibri" w:cs="Calibri"/>
      <w:b/>
      <w:lang w:val="es-ES"/>
    </w:rPr>
  </w:style>
  <w:style w:type="table" w:styleId="Tablaconcuadrcula4-nfasis5">
    <w:name w:val="Grid Table 4 Accent 5"/>
    <w:basedOn w:val="Tablanormal"/>
    <w:uiPriority w:val="49"/>
    <w:rsid w:val="00B7284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cPr>
      <w:vAlign w:val="center"/>
    </w:tc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independiente">
    <w:name w:val="Body Text"/>
    <w:basedOn w:val="Normal"/>
    <w:link w:val="TextoindependienteCar"/>
    <w:uiPriority w:val="1"/>
    <w:qFormat/>
    <w:rsid w:val="002C31DD"/>
    <w:pPr>
      <w:widowControl w:val="0"/>
      <w:autoSpaceDE w:val="0"/>
      <w:autoSpaceDN w:val="0"/>
      <w:spacing w:after="0" w:line="240" w:lineRule="auto"/>
      <w:jc w:val="left"/>
    </w:pPr>
    <w:rPr>
      <w:rFonts w:ascii="Arial Black" w:eastAsia="Arial Black" w:hAnsi="Arial Black" w:cs="Arial Black"/>
      <w:sz w:val="24"/>
      <w:szCs w:val="24"/>
      <w:lang w:val="es-ES" w:eastAsia="es-ES" w:bidi="es-ES"/>
    </w:rPr>
  </w:style>
  <w:style w:type="character" w:customStyle="1" w:styleId="TextoindependienteCar">
    <w:name w:val="Texto independiente Car"/>
    <w:basedOn w:val="Fuentedeprrafopredeter"/>
    <w:link w:val="Textoindependiente"/>
    <w:uiPriority w:val="1"/>
    <w:rsid w:val="002C31DD"/>
    <w:rPr>
      <w:rFonts w:ascii="Arial Black" w:eastAsia="Arial Black" w:hAnsi="Arial Black" w:cs="Arial Black"/>
      <w:sz w:val="24"/>
      <w:szCs w:val="24"/>
      <w:lang w:val="es-ES" w:eastAsia="es-ES" w:bidi="es-ES"/>
    </w:rPr>
  </w:style>
  <w:style w:type="paragraph" w:customStyle="1" w:styleId="Default">
    <w:name w:val="Default"/>
    <w:rsid w:val="00BF3FC3"/>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Fuentedeprrafopredeter"/>
    <w:rsid w:val="00410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7827">
      <w:bodyDiv w:val="1"/>
      <w:marLeft w:val="0"/>
      <w:marRight w:val="0"/>
      <w:marTop w:val="0"/>
      <w:marBottom w:val="0"/>
      <w:divBdr>
        <w:top w:val="none" w:sz="0" w:space="0" w:color="auto"/>
        <w:left w:val="none" w:sz="0" w:space="0" w:color="auto"/>
        <w:bottom w:val="none" w:sz="0" w:space="0" w:color="auto"/>
        <w:right w:val="none" w:sz="0" w:space="0" w:color="auto"/>
      </w:divBdr>
    </w:div>
    <w:div w:id="52120178">
      <w:bodyDiv w:val="1"/>
      <w:marLeft w:val="0"/>
      <w:marRight w:val="0"/>
      <w:marTop w:val="0"/>
      <w:marBottom w:val="0"/>
      <w:divBdr>
        <w:top w:val="none" w:sz="0" w:space="0" w:color="auto"/>
        <w:left w:val="none" w:sz="0" w:space="0" w:color="auto"/>
        <w:bottom w:val="none" w:sz="0" w:space="0" w:color="auto"/>
        <w:right w:val="none" w:sz="0" w:space="0" w:color="auto"/>
      </w:divBdr>
    </w:div>
    <w:div w:id="87359924">
      <w:bodyDiv w:val="1"/>
      <w:marLeft w:val="0"/>
      <w:marRight w:val="0"/>
      <w:marTop w:val="0"/>
      <w:marBottom w:val="0"/>
      <w:divBdr>
        <w:top w:val="none" w:sz="0" w:space="0" w:color="auto"/>
        <w:left w:val="none" w:sz="0" w:space="0" w:color="auto"/>
        <w:bottom w:val="none" w:sz="0" w:space="0" w:color="auto"/>
        <w:right w:val="none" w:sz="0" w:space="0" w:color="auto"/>
      </w:divBdr>
    </w:div>
    <w:div w:id="165904007">
      <w:bodyDiv w:val="1"/>
      <w:marLeft w:val="0"/>
      <w:marRight w:val="0"/>
      <w:marTop w:val="0"/>
      <w:marBottom w:val="0"/>
      <w:divBdr>
        <w:top w:val="none" w:sz="0" w:space="0" w:color="auto"/>
        <w:left w:val="none" w:sz="0" w:space="0" w:color="auto"/>
        <w:bottom w:val="none" w:sz="0" w:space="0" w:color="auto"/>
        <w:right w:val="none" w:sz="0" w:space="0" w:color="auto"/>
      </w:divBdr>
    </w:div>
    <w:div w:id="174928601">
      <w:bodyDiv w:val="1"/>
      <w:marLeft w:val="0"/>
      <w:marRight w:val="0"/>
      <w:marTop w:val="0"/>
      <w:marBottom w:val="0"/>
      <w:divBdr>
        <w:top w:val="none" w:sz="0" w:space="0" w:color="auto"/>
        <w:left w:val="none" w:sz="0" w:space="0" w:color="auto"/>
        <w:bottom w:val="none" w:sz="0" w:space="0" w:color="auto"/>
        <w:right w:val="none" w:sz="0" w:space="0" w:color="auto"/>
      </w:divBdr>
    </w:div>
    <w:div w:id="207690390">
      <w:bodyDiv w:val="1"/>
      <w:marLeft w:val="0"/>
      <w:marRight w:val="0"/>
      <w:marTop w:val="0"/>
      <w:marBottom w:val="0"/>
      <w:divBdr>
        <w:top w:val="none" w:sz="0" w:space="0" w:color="auto"/>
        <w:left w:val="none" w:sz="0" w:space="0" w:color="auto"/>
        <w:bottom w:val="none" w:sz="0" w:space="0" w:color="auto"/>
        <w:right w:val="none" w:sz="0" w:space="0" w:color="auto"/>
      </w:divBdr>
    </w:div>
    <w:div w:id="268584015">
      <w:bodyDiv w:val="1"/>
      <w:marLeft w:val="0"/>
      <w:marRight w:val="0"/>
      <w:marTop w:val="0"/>
      <w:marBottom w:val="0"/>
      <w:divBdr>
        <w:top w:val="none" w:sz="0" w:space="0" w:color="auto"/>
        <w:left w:val="none" w:sz="0" w:space="0" w:color="auto"/>
        <w:bottom w:val="none" w:sz="0" w:space="0" w:color="auto"/>
        <w:right w:val="none" w:sz="0" w:space="0" w:color="auto"/>
      </w:divBdr>
    </w:div>
    <w:div w:id="274602875">
      <w:bodyDiv w:val="1"/>
      <w:marLeft w:val="0"/>
      <w:marRight w:val="0"/>
      <w:marTop w:val="0"/>
      <w:marBottom w:val="0"/>
      <w:divBdr>
        <w:top w:val="none" w:sz="0" w:space="0" w:color="auto"/>
        <w:left w:val="none" w:sz="0" w:space="0" w:color="auto"/>
        <w:bottom w:val="none" w:sz="0" w:space="0" w:color="auto"/>
        <w:right w:val="none" w:sz="0" w:space="0" w:color="auto"/>
      </w:divBdr>
    </w:div>
    <w:div w:id="285740596">
      <w:bodyDiv w:val="1"/>
      <w:marLeft w:val="0"/>
      <w:marRight w:val="0"/>
      <w:marTop w:val="0"/>
      <w:marBottom w:val="0"/>
      <w:divBdr>
        <w:top w:val="none" w:sz="0" w:space="0" w:color="auto"/>
        <w:left w:val="none" w:sz="0" w:space="0" w:color="auto"/>
        <w:bottom w:val="none" w:sz="0" w:space="0" w:color="auto"/>
        <w:right w:val="none" w:sz="0" w:space="0" w:color="auto"/>
      </w:divBdr>
    </w:div>
    <w:div w:id="318845487">
      <w:bodyDiv w:val="1"/>
      <w:marLeft w:val="0"/>
      <w:marRight w:val="0"/>
      <w:marTop w:val="0"/>
      <w:marBottom w:val="0"/>
      <w:divBdr>
        <w:top w:val="none" w:sz="0" w:space="0" w:color="auto"/>
        <w:left w:val="none" w:sz="0" w:space="0" w:color="auto"/>
        <w:bottom w:val="none" w:sz="0" w:space="0" w:color="auto"/>
        <w:right w:val="none" w:sz="0" w:space="0" w:color="auto"/>
      </w:divBdr>
    </w:div>
    <w:div w:id="342317473">
      <w:bodyDiv w:val="1"/>
      <w:marLeft w:val="0"/>
      <w:marRight w:val="0"/>
      <w:marTop w:val="0"/>
      <w:marBottom w:val="0"/>
      <w:divBdr>
        <w:top w:val="none" w:sz="0" w:space="0" w:color="auto"/>
        <w:left w:val="none" w:sz="0" w:space="0" w:color="auto"/>
        <w:bottom w:val="none" w:sz="0" w:space="0" w:color="auto"/>
        <w:right w:val="none" w:sz="0" w:space="0" w:color="auto"/>
      </w:divBdr>
    </w:div>
    <w:div w:id="421604878">
      <w:bodyDiv w:val="1"/>
      <w:marLeft w:val="0"/>
      <w:marRight w:val="0"/>
      <w:marTop w:val="0"/>
      <w:marBottom w:val="0"/>
      <w:divBdr>
        <w:top w:val="none" w:sz="0" w:space="0" w:color="auto"/>
        <w:left w:val="none" w:sz="0" w:space="0" w:color="auto"/>
        <w:bottom w:val="none" w:sz="0" w:space="0" w:color="auto"/>
        <w:right w:val="none" w:sz="0" w:space="0" w:color="auto"/>
      </w:divBdr>
    </w:div>
    <w:div w:id="514535728">
      <w:bodyDiv w:val="1"/>
      <w:marLeft w:val="0"/>
      <w:marRight w:val="0"/>
      <w:marTop w:val="0"/>
      <w:marBottom w:val="0"/>
      <w:divBdr>
        <w:top w:val="none" w:sz="0" w:space="0" w:color="auto"/>
        <w:left w:val="none" w:sz="0" w:space="0" w:color="auto"/>
        <w:bottom w:val="none" w:sz="0" w:space="0" w:color="auto"/>
        <w:right w:val="none" w:sz="0" w:space="0" w:color="auto"/>
      </w:divBdr>
    </w:div>
    <w:div w:id="556010848">
      <w:bodyDiv w:val="1"/>
      <w:marLeft w:val="0"/>
      <w:marRight w:val="0"/>
      <w:marTop w:val="0"/>
      <w:marBottom w:val="0"/>
      <w:divBdr>
        <w:top w:val="none" w:sz="0" w:space="0" w:color="auto"/>
        <w:left w:val="none" w:sz="0" w:space="0" w:color="auto"/>
        <w:bottom w:val="none" w:sz="0" w:space="0" w:color="auto"/>
        <w:right w:val="none" w:sz="0" w:space="0" w:color="auto"/>
      </w:divBdr>
    </w:div>
    <w:div w:id="575552843">
      <w:bodyDiv w:val="1"/>
      <w:marLeft w:val="0"/>
      <w:marRight w:val="0"/>
      <w:marTop w:val="0"/>
      <w:marBottom w:val="0"/>
      <w:divBdr>
        <w:top w:val="none" w:sz="0" w:space="0" w:color="auto"/>
        <w:left w:val="none" w:sz="0" w:space="0" w:color="auto"/>
        <w:bottom w:val="none" w:sz="0" w:space="0" w:color="auto"/>
        <w:right w:val="none" w:sz="0" w:space="0" w:color="auto"/>
      </w:divBdr>
    </w:div>
    <w:div w:id="580215700">
      <w:bodyDiv w:val="1"/>
      <w:marLeft w:val="0"/>
      <w:marRight w:val="0"/>
      <w:marTop w:val="0"/>
      <w:marBottom w:val="0"/>
      <w:divBdr>
        <w:top w:val="none" w:sz="0" w:space="0" w:color="auto"/>
        <w:left w:val="none" w:sz="0" w:space="0" w:color="auto"/>
        <w:bottom w:val="none" w:sz="0" w:space="0" w:color="auto"/>
        <w:right w:val="none" w:sz="0" w:space="0" w:color="auto"/>
      </w:divBdr>
    </w:div>
    <w:div w:id="582183411">
      <w:bodyDiv w:val="1"/>
      <w:marLeft w:val="0"/>
      <w:marRight w:val="0"/>
      <w:marTop w:val="0"/>
      <w:marBottom w:val="0"/>
      <w:divBdr>
        <w:top w:val="none" w:sz="0" w:space="0" w:color="auto"/>
        <w:left w:val="none" w:sz="0" w:space="0" w:color="auto"/>
        <w:bottom w:val="none" w:sz="0" w:space="0" w:color="auto"/>
        <w:right w:val="none" w:sz="0" w:space="0" w:color="auto"/>
      </w:divBdr>
    </w:div>
    <w:div w:id="592519690">
      <w:bodyDiv w:val="1"/>
      <w:marLeft w:val="0"/>
      <w:marRight w:val="0"/>
      <w:marTop w:val="0"/>
      <w:marBottom w:val="0"/>
      <w:divBdr>
        <w:top w:val="none" w:sz="0" w:space="0" w:color="auto"/>
        <w:left w:val="none" w:sz="0" w:space="0" w:color="auto"/>
        <w:bottom w:val="none" w:sz="0" w:space="0" w:color="auto"/>
        <w:right w:val="none" w:sz="0" w:space="0" w:color="auto"/>
      </w:divBdr>
    </w:div>
    <w:div w:id="593780870">
      <w:bodyDiv w:val="1"/>
      <w:marLeft w:val="0"/>
      <w:marRight w:val="0"/>
      <w:marTop w:val="0"/>
      <w:marBottom w:val="0"/>
      <w:divBdr>
        <w:top w:val="none" w:sz="0" w:space="0" w:color="auto"/>
        <w:left w:val="none" w:sz="0" w:space="0" w:color="auto"/>
        <w:bottom w:val="none" w:sz="0" w:space="0" w:color="auto"/>
        <w:right w:val="none" w:sz="0" w:space="0" w:color="auto"/>
      </w:divBdr>
    </w:div>
    <w:div w:id="677773321">
      <w:bodyDiv w:val="1"/>
      <w:marLeft w:val="0"/>
      <w:marRight w:val="0"/>
      <w:marTop w:val="0"/>
      <w:marBottom w:val="0"/>
      <w:divBdr>
        <w:top w:val="none" w:sz="0" w:space="0" w:color="auto"/>
        <w:left w:val="none" w:sz="0" w:space="0" w:color="auto"/>
        <w:bottom w:val="none" w:sz="0" w:space="0" w:color="auto"/>
        <w:right w:val="none" w:sz="0" w:space="0" w:color="auto"/>
      </w:divBdr>
    </w:div>
    <w:div w:id="702250999">
      <w:bodyDiv w:val="1"/>
      <w:marLeft w:val="0"/>
      <w:marRight w:val="0"/>
      <w:marTop w:val="0"/>
      <w:marBottom w:val="0"/>
      <w:divBdr>
        <w:top w:val="none" w:sz="0" w:space="0" w:color="auto"/>
        <w:left w:val="none" w:sz="0" w:space="0" w:color="auto"/>
        <w:bottom w:val="none" w:sz="0" w:space="0" w:color="auto"/>
        <w:right w:val="none" w:sz="0" w:space="0" w:color="auto"/>
      </w:divBdr>
    </w:div>
    <w:div w:id="711734996">
      <w:bodyDiv w:val="1"/>
      <w:marLeft w:val="0"/>
      <w:marRight w:val="0"/>
      <w:marTop w:val="0"/>
      <w:marBottom w:val="0"/>
      <w:divBdr>
        <w:top w:val="none" w:sz="0" w:space="0" w:color="auto"/>
        <w:left w:val="none" w:sz="0" w:space="0" w:color="auto"/>
        <w:bottom w:val="none" w:sz="0" w:space="0" w:color="auto"/>
        <w:right w:val="none" w:sz="0" w:space="0" w:color="auto"/>
      </w:divBdr>
    </w:div>
    <w:div w:id="785538294">
      <w:bodyDiv w:val="1"/>
      <w:marLeft w:val="0"/>
      <w:marRight w:val="0"/>
      <w:marTop w:val="0"/>
      <w:marBottom w:val="0"/>
      <w:divBdr>
        <w:top w:val="none" w:sz="0" w:space="0" w:color="auto"/>
        <w:left w:val="none" w:sz="0" w:space="0" w:color="auto"/>
        <w:bottom w:val="none" w:sz="0" w:space="0" w:color="auto"/>
        <w:right w:val="none" w:sz="0" w:space="0" w:color="auto"/>
      </w:divBdr>
    </w:div>
    <w:div w:id="901059731">
      <w:bodyDiv w:val="1"/>
      <w:marLeft w:val="0"/>
      <w:marRight w:val="0"/>
      <w:marTop w:val="0"/>
      <w:marBottom w:val="0"/>
      <w:divBdr>
        <w:top w:val="none" w:sz="0" w:space="0" w:color="auto"/>
        <w:left w:val="none" w:sz="0" w:space="0" w:color="auto"/>
        <w:bottom w:val="none" w:sz="0" w:space="0" w:color="auto"/>
        <w:right w:val="none" w:sz="0" w:space="0" w:color="auto"/>
      </w:divBdr>
    </w:div>
    <w:div w:id="909198690">
      <w:bodyDiv w:val="1"/>
      <w:marLeft w:val="0"/>
      <w:marRight w:val="0"/>
      <w:marTop w:val="0"/>
      <w:marBottom w:val="0"/>
      <w:divBdr>
        <w:top w:val="none" w:sz="0" w:space="0" w:color="auto"/>
        <w:left w:val="none" w:sz="0" w:space="0" w:color="auto"/>
        <w:bottom w:val="none" w:sz="0" w:space="0" w:color="auto"/>
        <w:right w:val="none" w:sz="0" w:space="0" w:color="auto"/>
      </w:divBdr>
    </w:div>
    <w:div w:id="915477811">
      <w:bodyDiv w:val="1"/>
      <w:marLeft w:val="0"/>
      <w:marRight w:val="0"/>
      <w:marTop w:val="0"/>
      <w:marBottom w:val="0"/>
      <w:divBdr>
        <w:top w:val="none" w:sz="0" w:space="0" w:color="auto"/>
        <w:left w:val="none" w:sz="0" w:space="0" w:color="auto"/>
        <w:bottom w:val="none" w:sz="0" w:space="0" w:color="auto"/>
        <w:right w:val="none" w:sz="0" w:space="0" w:color="auto"/>
      </w:divBdr>
    </w:div>
    <w:div w:id="929124130">
      <w:bodyDiv w:val="1"/>
      <w:marLeft w:val="0"/>
      <w:marRight w:val="0"/>
      <w:marTop w:val="0"/>
      <w:marBottom w:val="0"/>
      <w:divBdr>
        <w:top w:val="none" w:sz="0" w:space="0" w:color="auto"/>
        <w:left w:val="none" w:sz="0" w:space="0" w:color="auto"/>
        <w:bottom w:val="none" w:sz="0" w:space="0" w:color="auto"/>
        <w:right w:val="none" w:sz="0" w:space="0" w:color="auto"/>
      </w:divBdr>
    </w:div>
    <w:div w:id="947353660">
      <w:bodyDiv w:val="1"/>
      <w:marLeft w:val="0"/>
      <w:marRight w:val="0"/>
      <w:marTop w:val="0"/>
      <w:marBottom w:val="0"/>
      <w:divBdr>
        <w:top w:val="none" w:sz="0" w:space="0" w:color="auto"/>
        <w:left w:val="none" w:sz="0" w:space="0" w:color="auto"/>
        <w:bottom w:val="none" w:sz="0" w:space="0" w:color="auto"/>
        <w:right w:val="none" w:sz="0" w:space="0" w:color="auto"/>
      </w:divBdr>
    </w:div>
    <w:div w:id="972442056">
      <w:bodyDiv w:val="1"/>
      <w:marLeft w:val="0"/>
      <w:marRight w:val="0"/>
      <w:marTop w:val="0"/>
      <w:marBottom w:val="0"/>
      <w:divBdr>
        <w:top w:val="none" w:sz="0" w:space="0" w:color="auto"/>
        <w:left w:val="none" w:sz="0" w:space="0" w:color="auto"/>
        <w:bottom w:val="none" w:sz="0" w:space="0" w:color="auto"/>
        <w:right w:val="none" w:sz="0" w:space="0" w:color="auto"/>
      </w:divBdr>
    </w:div>
    <w:div w:id="980888799">
      <w:bodyDiv w:val="1"/>
      <w:marLeft w:val="0"/>
      <w:marRight w:val="0"/>
      <w:marTop w:val="0"/>
      <w:marBottom w:val="0"/>
      <w:divBdr>
        <w:top w:val="none" w:sz="0" w:space="0" w:color="auto"/>
        <w:left w:val="none" w:sz="0" w:space="0" w:color="auto"/>
        <w:bottom w:val="none" w:sz="0" w:space="0" w:color="auto"/>
        <w:right w:val="none" w:sz="0" w:space="0" w:color="auto"/>
      </w:divBdr>
    </w:div>
    <w:div w:id="1070037599">
      <w:bodyDiv w:val="1"/>
      <w:marLeft w:val="0"/>
      <w:marRight w:val="0"/>
      <w:marTop w:val="0"/>
      <w:marBottom w:val="0"/>
      <w:divBdr>
        <w:top w:val="none" w:sz="0" w:space="0" w:color="auto"/>
        <w:left w:val="none" w:sz="0" w:space="0" w:color="auto"/>
        <w:bottom w:val="none" w:sz="0" w:space="0" w:color="auto"/>
        <w:right w:val="none" w:sz="0" w:space="0" w:color="auto"/>
      </w:divBdr>
    </w:div>
    <w:div w:id="1083574200">
      <w:bodyDiv w:val="1"/>
      <w:marLeft w:val="0"/>
      <w:marRight w:val="0"/>
      <w:marTop w:val="0"/>
      <w:marBottom w:val="0"/>
      <w:divBdr>
        <w:top w:val="none" w:sz="0" w:space="0" w:color="auto"/>
        <w:left w:val="none" w:sz="0" w:space="0" w:color="auto"/>
        <w:bottom w:val="none" w:sz="0" w:space="0" w:color="auto"/>
        <w:right w:val="none" w:sz="0" w:space="0" w:color="auto"/>
      </w:divBdr>
    </w:div>
    <w:div w:id="1140149796">
      <w:bodyDiv w:val="1"/>
      <w:marLeft w:val="0"/>
      <w:marRight w:val="0"/>
      <w:marTop w:val="0"/>
      <w:marBottom w:val="0"/>
      <w:divBdr>
        <w:top w:val="none" w:sz="0" w:space="0" w:color="auto"/>
        <w:left w:val="none" w:sz="0" w:space="0" w:color="auto"/>
        <w:bottom w:val="none" w:sz="0" w:space="0" w:color="auto"/>
        <w:right w:val="none" w:sz="0" w:space="0" w:color="auto"/>
      </w:divBdr>
    </w:div>
    <w:div w:id="1156072463">
      <w:bodyDiv w:val="1"/>
      <w:marLeft w:val="0"/>
      <w:marRight w:val="0"/>
      <w:marTop w:val="0"/>
      <w:marBottom w:val="0"/>
      <w:divBdr>
        <w:top w:val="none" w:sz="0" w:space="0" w:color="auto"/>
        <w:left w:val="none" w:sz="0" w:space="0" w:color="auto"/>
        <w:bottom w:val="none" w:sz="0" w:space="0" w:color="auto"/>
        <w:right w:val="none" w:sz="0" w:space="0" w:color="auto"/>
      </w:divBdr>
    </w:div>
    <w:div w:id="1187908533">
      <w:bodyDiv w:val="1"/>
      <w:marLeft w:val="0"/>
      <w:marRight w:val="0"/>
      <w:marTop w:val="0"/>
      <w:marBottom w:val="0"/>
      <w:divBdr>
        <w:top w:val="none" w:sz="0" w:space="0" w:color="auto"/>
        <w:left w:val="none" w:sz="0" w:space="0" w:color="auto"/>
        <w:bottom w:val="none" w:sz="0" w:space="0" w:color="auto"/>
        <w:right w:val="none" w:sz="0" w:space="0" w:color="auto"/>
      </w:divBdr>
    </w:div>
    <w:div w:id="1230454746">
      <w:bodyDiv w:val="1"/>
      <w:marLeft w:val="0"/>
      <w:marRight w:val="0"/>
      <w:marTop w:val="0"/>
      <w:marBottom w:val="0"/>
      <w:divBdr>
        <w:top w:val="none" w:sz="0" w:space="0" w:color="auto"/>
        <w:left w:val="none" w:sz="0" w:space="0" w:color="auto"/>
        <w:bottom w:val="none" w:sz="0" w:space="0" w:color="auto"/>
        <w:right w:val="none" w:sz="0" w:space="0" w:color="auto"/>
      </w:divBdr>
    </w:div>
    <w:div w:id="1269659005">
      <w:bodyDiv w:val="1"/>
      <w:marLeft w:val="0"/>
      <w:marRight w:val="0"/>
      <w:marTop w:val="0"/>
      <w:marBottom w:val="0"/>
      <w:divBdr>
        <w:top w:val="none" w:sz="0" w:space="0" w:color="auto"/>
        <w:left w:val="none" w:sz="0" w:space="0" w:color="auto"/>
        <w:bottom w:val="none" w:sz="0" w:space="0" w:color="auto"/>
        <w:right w:val="none" w:sz="0" w:space="0" w:color="auto"/>
      </w:divBdr>
    </w:div>
    <w:div w:id="1291009982">
      <w:bodyDiv w:val="1"/>
      <w:marLeft w:val="0"/>
      <w:marRight w:val="0"/>
      <w:marTop w:val="0"/>
      <w:marBottom w:val="0"/>
      <w:divBdr>
        <w:top w:val="none" w:sz="0" w:space="0" w:color="auto"/>
        <w:left w:val="none" w:sz="0" w:space="0" w:color="auto"/>
        <w:bottom w:val="none" w:sz="0" w:space="0" w:color="auto"/>
        <w:right w:val="none" w:sz="0" w:space="0" w:color="auto"/>
      </w:divBdr>
    </w:div>
    <w:div w:id="1343628271">
      <w:bodyDiv w:val="1"/>
      <w:marLeft w:val="0"/>
      <w:marRight w:val="0"/>
      <w:marTop w:val="0"/>
      <w:marBottom w:val="0"/>
      <w:divBdr>
        <w:top w:val="none" w:sz="0" w:space="0" w:color="auto"/>
        <w:left w:val="none" w:sz="0" w:space="0" w:color="auto"/>
        <w:bottom w:val="none" w:sz="0" w:space="0" w:color="auto"/>
        <w:right w:val="none" w:sz="0" w:space="0" w:color="auto"/>
      </w:divBdr>
    </w:div>
    <w:div w:id="1363895649">
      <w:bodyDiv w:val="1"/>
      <w:marLeft w:val="0"/>
      <w:marRight w:val="0"/>
      <w:marTop w:val="0"/>
      <w:marBottom w:val="0"/>
      <w:divBdr>
        <w:top w:val="none" w:sz="0" w:space="0" w:color="auto"/>
        <w:left w:val="none" w:sz="0" w:space="0" w:color="auto"/>
        <w:bottom w:val="none" w:sz="0" w:space="0" w:color="auto"/>
        <w:right w:val="none" w:sz="0" w:space="0" w:color="auto"/>
      </w:divBdr>
    </w:div>
    <w:div w:id="1439640402">
      <w:bodyDiv w:val="1"/>
      <w:marLeft w:val="0"/>
      <w:marRight w:val="0"/>
      <w:marTop w:val="0"/>
      <w:marBottom w:val="0"/>
      <w:divBdr>
        <w:top w:val="none" w:sz="0" w:space="0" w:color="auto"/>
        <w:left w:val="none" w:sz="0" w:space="0" w:color="auto"/>
        <w:bottom w:val="none" w:sz="0" w:space="0" w:color="auto"/>
        <w:right w:val="none" w:sz="0" w:space="0" w:color="auto"/>
      </w:divBdr>
    </w:div>
    <w:div w:id="1444106904">
      <w:bodyDiv w:val="1"/>
      <w:marLeft w:val="0"/>
      <w:marRight w:val="0"/>
      <w:marTop w:val="0"/>
      <w:marBottom w:val="0"/>
      <w:divBdr>
        <w:top w:val="none" w:sz="0" w:space="0" w:color="auto"/>
        <w:left w:val="none" w:sz="0" w:space="0" w:color="auto"/>
        <w:bottom w:val="none" w:sz="0" w:space="0" w:color="auto"/>
        <w:right w:val="none" w:sz="0" w:space="0" w:color="auto"/>
      </w:divBdr>
    </w:div>
    <w:div w:id="1453137567">
      <w:bodyDiv w:val="1"/>
      <w:marLeft w:val="0"/>
      <w:marRight w:val="0"/>
      <w:marTop w:val="0"/>
      <w:marBottom w:val="0"/>
      <w:divBdr>
        <w:top w:val="none" w:sz="0" w:space="0" w:color="auto"/>
        <w:left w:val="none" w:sz="0" w:space="0" w:color="auto"/>
        <w:bottom w:val="none" w:sz="0" w:space="0" w:color="auto"/>
        <w:right w:val="none" w:sz="0" w:space="0" w:color="auto"/>
      </w:divBdr>
    </w:div>
    <w:div w:id="1464427283">
      <w:bodyDiv w:val="1"/>
      <w:marLeft w:val="0"/>
      <w:marRight w:val="0"/>
      <w:marTop w:val="0"/>
      <w:marBottom w:val="0"/>
      <w:divBdr>
        <w:top w:val="none" w:sz="0" w:space="0" w:color="auto"/>
        <w:left w:val="none" w:sz="0" w:space="0" w:color="auto"/>
        <w:bottom w:val="none" w:sz="0" w:space="0" w:color="auto"/>
        <w:right w:val="none" w:sz="0" w:space="0" w:color="auto"/>
      </w:divBdr>
    </w:div>
    <w:div w:id="1484663972">
      <w:bodyDiv w:val="1"/>
      <w:marLeft w:val="0"/>
      <w:marRight w:val="0"/>
      <w:marTop w:val="0"/>
      <w:marBottom w:val="0"/>
      <w:divBdr>
        <w:top w:val="none" w:sz="0" w:space="0" w:color="auto"/>
        <w:left w:val="none" w:sz="0" w:space="0" w:color="auto"/>
        <w:bottom w:val="none" w:sz="0" w:space="0" w:color="auto"/>
        <w:right w:val="none" w:sz="0" w:space="0" w:color="auto"/>
      </w:divBdr>
    </w:div>
    <w:div w:id="1501579794">
      <w:bodyDiv w:val="1"/>
      <w:marLeft w:val="0"/>
      <w:marRight w:val="0"/>
      <w:marTop w:val="0"/>
      <w:marBottom w:val="0"/>
      <w:divBdr>
        <w:top w:val="none" w:sz="0" w:space="0" w:color="auto"/>
        <w:left w:val="none" w:sz="0" w:space="0" w:color="auto"/>
        <w:bottom w:val="none" w:sz="0" w:space="0" w:color="auto"/>
        <w:right w:val="none" w:sz="0" w:space="0" w:color="auto"/>
      </w:divBdr>
    </w:div>
    <w:div w:id="1545094408">
      <w:bodyDiv w:val="1"/>
      <w:marLeft w:val="0"/>
      <w:marRight w:val="0"/>
      <w:marTop w:val="0"/>
      <w:marBottom w:val="0"/>
      <w:divBdr>
        <w:top w:val="none" w:sz="0" w:space="0" w:color="auto"/>
        <w:left w:val="none" w:sz="0" w:space="0" w:color="auto"/>
        <w:bottom w:val="none" w:sz="0" w:space="0" w:color="auto"/>
        <w:right w:val="none" w:sz="0" w:space="0" w:color="auto"/>
      </w:divBdr>
    </w:div>
    <w:div w:id="1550804452">
      <w:bodyDiv w:val="1"/>
      <w:marLeft w:val="0"/>
      <w:marRight w:val="0"/>
      <w:marTop w:val="0"/>
      <w:marBottom w:val="0"/>
      <w:divBdr>
        <w:top w:val="none" w:sz="0" w:space="0" w:color="auto"/>
        <w:left w:val="none" w:sz="0" w:space="0" w:color="auto"/>
        <w:bottom w:val="none" w:sz="0" w:space="0" w:color="auto"/>
        <w:right w:val="none" w:sz="0" w:space="0" w:color="auto"/>
      </w:divBdr>
    </w:div>
    <w:div w:id="1564102712">
      <w:bodyDiv w:val="1"/>
      <w:marLeft w:val="0"/>
      <w:marRight w:val="0"/>
      <w:marTop w:val="0"/>
      <w:marBottom w:val="0"/>
      <w:divBdr>
        <w:top w:val="none" w:sz="0" w:space="0" w:color="auto"/>
        <w:left w:val="none" w:sz="0" w:space="0" w:color="auto"/>
        <w:bottom w:val="none" w:sz="0" w:space="0" w:color="auto"/>
        <w:right w:val="none" w:sz="0" w:space="0" w:color="auto"/>
      </w:divBdr>
    </w:div>
    <w:div w:id="1632441051">
      <w:bodyDiv w:val="1"/>
      <w:marLeft w:val="0"/>
      <w:marRight w:val="0"/>
      <w:marTop w:val="0"/>
      <w:marBottom w:val="0"/>
      <w:divBdr>
        <w:top w:val="none" w:sz="0" w:space="0" w:color="auto"/>
        <w:left w:val="none" w:sz="0" w:space="0" w:color="auto"/>
        <w:bottom w:val="none" w:sz="0" w:space="0" w:color="auto"/>
        <w:right w:val="none" w:sz="0" w:space="0" w:color="auto"/>
      </w:divBdr>
    </w:div>
    <w:div w:id="1664550916">
      <w:bodyDiv w:val="1"/>
      <w:marLeft w:val="0"/>
      <w:marRight w:val="0"/>
      <w:marTop w:val="0"/>
      <w:marBottom w:val="0"/>
      <w:divBdr>
        <w:top w:val="none" w:sz="0" w:space="0" w:color="auto"/>
        <w:left w:val="none" w:sz="0" w:space="0" w:color="auto"/>
        <w:bottom w:val="none" w:sz="0" w:space="0" w:color="auto"/>
        <w:right w:val="none" w:sz="0" w:space="0" w:color="auto"/>
      </w:divBdr>
    </w:div>
    <w:div w:id="1672949523">
      <w:bodyDiv w:val="1"/>
      <w:marLeft w:val="0"/>
      <w:marRight w:val="0"/>
      <w:marTop w:val="0"/>
      <w:marBottom w:val="0"/>
      <w:divBdr>
        <w:top w:val="none" w:sz="0" w:space="0" w:color="auto"/>
        <w:left w:val="none" w:sz="0" w:space="0" w:color="auto"/>
        <w:bottom w:val="none" w:sz="0" w:space="0" w:color="auto"/>
        <w:right w:val="none" w:sz="0" w:space="0" w:color="auto"/>
      </w:divBdr>
    </w:div>
    <w:div w:id="1687945417">
      <w:bodyDiv w:val="1"/>
      <w:marLeft w:val="0"/>
      <w:marRight w:val="0"/>
      <w:marTop w:val="0"/>
      <w:marBottom w:val="0"/>
      <w:divBdr>
        <w:top w:val="none" w:sz="0" w:space="0" w:color="auto"/>
        <w:left w:val="none" w:sz="0" w:space="0" w:color="auto"/>
        <w:bottom w:val="none" w:sz="0" w:space="0" w:color="auto"/>
        <w:right w:val="none" w:sz="0" w:space="0" w:color="auto"/>
      </w:divBdr>
    </w:div>
    <w:div w:id="1801609560">
      <w:bodyDiv w:val="1"/>
      <w:marLeft w:val="0"/>
      <w:marRight w:val="0"/>
      <w:marTop w:val="0"/>
      <w:marBottom w:val="0"/>
      <w:divBdr>
        <w:top w:val="none" w:sz="0" w:space="0" w:color="auto"/>
        <w:left w:val="none" w:sz="0" w:space="0" w:color="auto"/>
        <w:bottom w:val="none" w:sz="0" w:space="0" w:color="auto"/>
        <w:right w:val="none" w:sz="0" w:space="0" w:color="auto"/>
      </w:divBdr>
    </w:div>
    <w:div w:id="1801993649">
      <w:bodyDiv w:val="1"/>
      <w:marLeft w:val="0"/>
      <w:marRight w:val="0"/>
      <w:marTop w:val="0"/>
      <w:marBottom w:val="0"/>
      <w:divBdr>
        <w:top w:val="none" w:sz="0" w:space="0" w:color="auto"/>
        <w:left w:val="none" w:sz="0" w:space="0" w:color="auto"/>
        <w:bottom w:val="none" w:sz="0" w:space="0" w:color="auto"/>
        <w:right w:val="none" w:sz="0" w:space="0" w:color="auto"/>
      </w:divBdr>
    </w:div>
    <w:div w:id="1821537190">
      <w:bodyDiv w:val="1"/>
      <w:marLeft w:val="0"/>
      <w:marRight w:val="0"/>
      <w:marTop w:val="0"/>
      <w:marBottom w:val="0"/>
      <w:divBdr>
        <w:top w:val="none" w:sz="0" w:space="0" w:color="auto"/>
        <w:left w:val="none" w:sz="0" w:space="0" w:color="auto"/>
        <w:bottom w:val="none" w:sz="0" w:space="0" w:color="auto"/>
        <w:right w:val="none" w:sz="0" w:space="0" w:color="auto"/>
      </w:divBdr>
    </w:div>
    <w:div w:id="1869877582">
      <w:bodyDiv w:val="1"/>
      <w:marLeft w:val="0"/>
      <w:marRight w:val="0"/>
      <w:marTop w:val="0"/>
      <w:marBottom w:val="0"/>
      <w:divBdr>
        <w:top w:val="none" w:sz="0" w:space="0" w:color="auto"/>
        <w:left w:val="none" w:sz="0" w:space="0" w:color="auto"/>
        <w:bottom w:val="none" w:sz="0" w:space="0" w:color="auto"/>
        <w:right w:val="none" w:sz="0" w:space="0" w:color="auto"/>
      </w:divBdr>
    </w:div>
    <w:div w:id="1926064830">
      <w:bodyDiv w:val="1"/>
      <w:marLeft w:val="0"/>
      <w:marRight w:val="0"/>
      <w:marTop w:val="0"/>
      <w:marBottom w:val="0"/>
      <w:divBdr>
        <w:top w:val="none" w:sz="0" w:space="0" w:color="auto"/>
        <w:left w:val="none" w:sz="0" w:space="0" w:color="auto"/>
        <w:bottom w:val="none" w:sz="0" w:space="0" w:color="auto"/>
        <w:right w:val="none" w:sz="0" w:space="0" w:color="auto"/>
      </w:divBdr>
    </w:div>
    <w:div w:id="1927423910">
      <w:bodyDiv w:val="1"/>
      <w:marLeft w:val="0"/>
      <w:marRight w:val="0"/>
      <w:marTop w:val="0"/>
      <w:marBottom w:val="0"/>
      <w:divBdr>
        <w:top w:val="none" w:sz="0" w:space="0" w:color="auto"/>
        <w:left w:val="none" w:sz="0" w:space="0" w:color="auto"/>
        <w:bottom w:val="none" w:sz="0" w:space="0" w:color="auto"/>
        <w:right w:val="none" w:sz="0" w:space="0" w:color="auto"/>
      </w:divBdr>
    </w:div>
    <w:div w:id="1961296079">
      <w:bodyDiv w:val="1"/>
      <w:marLeft w:val="0"/>
      <w:marRight w:val="0"/>
      <w:marTop w:val="0"/>
      <w:marBottom w:val="0"/>
      <w:divBdr>
        <w:top w:val="none" w:sz="0" w:space="0" w:color="auto"/>
        <w:left w:val="none" w:sz="0" w:space="0" w:color="auto"/>
        <w:bottom w:val="none" w:sz="0" w:space="0" w:color="auto"/>
        <w:right w:val="none" w:sz="0" w:space="0" w:color="auto"/>
      </w:divBdr>
    </w:div>
    <w:div w:id="1991516765">
      <w:bodyDiv w:val="1"/>
      <w:marLeft w:val="0"/>
      <w:marRight w:val="0"/>
      <w:marTop w:val="0"/>
      <w:marBottom w:val="0"/>
      <w:divBdr>
        <w:top w:val="none" w:sz="0" w:space="0" w:color="auto"/>
        <w:left w:val="none" w:sz="0" w:space="0" w:color="auto"/>
        <w:bottom w:val="none" w:sz="0" w:space="0" w:color="auto"/>
        <w:right w:val="none" w:sz="0" w:space="0" w:color="auto"/>
      </w:divBdr>
    </w:div>
    <w:div w:id="20978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CDC110D299A934FBAFFAFB39416171C" ma:contentTypeVersion="13" ma:contentTypeDescription="Crear nuevo documento." ma:contentTypeScope="" ma:versionID="218f81755f93a842bde070cbf3899842">
  <xsd:schema xmlns:xsd="http://www.w3.org/2001/XMLSchema" xmlns:xs="http://www.w3.org/2001/XMLSchema" xmlns:p="http://schemas.microsoft.com/office/2006/metadata/properties" xmlns:ns2="dbad7abf-9d82-4e1e-896f-2e85f5214b50" xmlns:ns3="f484eb6a-d0a0-4619-8e5c-9d6c8f7f952d" targetNamespace="http://schemas.microsoft.com/office/2006/metadata/properties" ma:root="true" ma:fieldsID="2028a15bc232ca95a8bede7a285d8e3c" ns2:_="" ns3:_="">
    <xsd:import namespace="dbad7abf-9d82-4e1e-896f-2e85f5214b50"/>
    <xsd:import namespace="f484eb6a-d0a0-4619-8e5c-9d6c8f7f95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d7abf-9d82-4e1e-896f-2e85f5214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84eb6a-d0a0-4619-8e5c-9d6c8f7f952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del15</b:Tag>
    <b:SourceType>ConferenceProceedings</b:SourceType>
    <b:Guid>{6C13E38E-F61D-43B7-B1FC-8830CD982578}</b:Guid>
    <b:Title>Una propuesta de construcción de categorías desde la teoría</b:Title>
    <b:Year>2015</b:Year>
    <b:City>Valencia</b:City>
    <b:Pages>4</b:Pages>
    <b:Author>
      <b:Author>
        <b:NameList>
          <b:Person>
            <b:Last>Del Morral</b:Last>
            <b:First>G</b:First>
          </b:Person>
          <b:Person>
            <b:Last>Suárez</b:Last>
            <b:First>C</b:First>
          </b:Person>
        </b:NameList>
      </b:Author>
    </b:Author>
    <b:ConferenceName>4° Congreso Internacional Multidisciplinar de Investigación Educativa</b:ConferenceName>
    <b:RefOrder>2</b:RefOrder>
  </b:Source>
  <b:Source>
    <b:Tag>Min18</b:Tag>
    <b:SourceType>BookSection</b:SourceType>
    <b:Guid>{19D53D90-1695-45CC-84CC-35DA0838A3C4}</b:Guid>
    <b:Author>
      <b:Author>
        <b:Corporate>Ministerio de Educación y Grupo Educativo</b:Corporate>
      </b:Author>
    </b:Author>
    <b:Year>2018</b:Year>
    <b:City>Santiago</b:City>
    <b:Title>Herramienta N°2 Metodología de Participación</b:Title>
    <b:RefOrder>1</b:RefOrder>
  </b:Source>
  <b:Source>
    <b:Tag>Ser20</b:Tag>
    <b:SourceType>Report</b:SourceType>
    <b:Guid>{DFD00E10-29E2-4581-9E0D-5CC2E6DBB524}</b:Guid>
    <b:Title>Análisis de Focus Group</b:Title>
    <b:Year>2020</b:Year>
    <b:Author>
      <b:Author>
        <b:Corporate>Servicio Local de Educación Pública Gabriela Mistral</b:Corporate>
      </b:Author>
    </b:Author>
    <b:RefOrder>3</b:RefOrder>
  </b:Source>
</b:Sources>
</file>

<file path=customXml/itemProps1.xml><?xml version="1.0" encoding="utf-8"?>
<ds:datastoreItem xmlns:ds="http://schemas.openxmlformats.org/officeDocument/2006/customXml" ds:itemID="{034F012B-B28A-4E96-ACEC-78F182A58B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D4E66C-7E84-496E-AA8F-C9A744816313}">
  <ds:schemaRefs>
    <ds:schemaRef ds:uri="http://schemas.microsoft.com/sharepoint/v3/contenttype/forms"/>
  </ds:schemaRefs>
</ds:datastoreItem>
</file>

<file path=customXml/itemProps3.xml><?xml version="1.0" encoding="utf-8"?>
<ds:datastoreItem xmlns:ds="http://schemas.openxmlformats.org/officeDocument/2006/customXml" ds:itemID="{743CC853-FDA7-4A8D-B49A-5A1DDCFA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d7abf-9d82-4e1e-896f-2e85f5214b50"/>
    <ds:schemaRef ds:uri="f484eb6a-d0a0-4619-8e5c-9d6c8f7f9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100B4-18D9-4E36-BE4F-04C7B2072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1080</Words>
  <Characters>5941</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Andrea Parra Carrasco</dc:creator>
  <cp:keywords/>
  <dc:description/>
  <cp:lastModifiedBy>Daniela Paola Cornejo Gaete</cp:lastModifiedBy>
  <cp:revision>2</cp:revision>
  <dcterms:created xsi:type="dcterms:W3CDTF">2021-08-06T17:31:00Z</dcterms:created>
  <dcterms:modified xsi:type="dcterms:W3CDTF">2021-08-06T17:31:00Z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0x0101002CDC110D299A934FBAFFAFB39416171C</vt:lpwstr>
  </property>
</Properties>
</file>